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39B4" w:rsidRPr="00866EC9" w:rsidRDefault="002239B4" w:rsidP="00866EC9">
      <w:pPr>
        <w:jc w:val="right"/>
        <w:rPr>
          <w:rFonts w:ascii="Arial" w:hAnsi="Arial" w:cs="Arial"/>
        </w:rPr>
      </w:pPr>
      <w:r w:rsidRPr="00866EC9">
        <w:rPr>
          <w:rFonts w:ascii="Arial" w:hAnsi="Arial" w:cs="Arial"/>
        </w:rPr>
        <w:t>……………………………</w:t>
      </w:r>
    </w:p>
    <w:p w:rsidR="002239B4" w:rsidRDefault="002239B4" w:rsidP="00866EC9">
      <w:pPr>
        <w:jc w:val="both"/>
        <w:rPr>
          <w:rFonts w:ascii="Arial" w:hAnsi="Arial" w:cs="Arial"/>
        </w:rPr>
      </w:pPr>
    </w:p>
    <w:p w:rsidR="00866EC9" w:rsidRDefault="00866EC9" w:rsidP="00866EC9">
      <w:pPr>
        <w:jc w:val="both"/>
        <w:rPr>
          <w:rFonts w:ascii="Arial" w:hAnsi="Arial" w:cs="Arial"/>
        </w:rPr>
      </w:pPr>
    </w:p>
    <w:p w:rsidR="00866EC9" w:rsidRDefault="00866EC9" w:rsidP="00866EC9">
      <w:pPr>
        <w:jc w:val="both"/>
        <w:rPr>
          <w:rFonts w:ascii="Arial" w:hAnsi="Arial" w:cs="Arial"/>
        </w:rPr>
      </w:pPr>
    </w:p>
    <w:p w:rsidR="00866EC9" w:rsidRPr="00866EC9" w:rsidRDefault="00866EC9" w:rsidP="00866EC9">
      <w:pPr>
        <w:jc w:val="both"/>
        <w:rPr>
          <w:rFonts w:ascii="Arial" w:hAnsi="Arial" w:cs="Arial"/>
        </w:rPr>
      </w:pPr>
    </w:p>
    <w:p w:rsidR="002239B4" w:rsidRPr="00866EC9" w:rsidRDefault="002239B4" w:rsidP="00866EC9">
      <w:pPr>
        <w:jc w:val="both"/>
        <w:rPr>
          <w:rFonts w:ascii="Arial" w:hAnsi="Arial" w:cs="Arial"/>
        </w:rPr>
      </w:pPr>
      <w:r w:rsidRPr="00866EC9">
        <w:rPr>
          <w:rFonts w:ascii="Arial" w:hAnsi="Arial" w:cs="Arial"/>
        </w:rPr>
        <w:t>………………………………………………</w:t>
      </w:r>
    </w:p>
    <w:p w:rsidR="002239B4" w:rsidRPr="00866EC9" w:rsidRDefault="002239B4" w:rsidP="00866EC9">
      <w:pPr>
        <w:jc w:val="both"/>
        <w:rPr>
          <w:rFonts w:ascii="Arial" w:hAnsi="Arial" w:cs="Arial"/>
          <w:sz w:val="16"/>
          <w:szCs w:val="16"/>
        </w:rPr>
      </w:pPr>
      <w:r w:rsidRPr="00866EC9">
        <w:rPr>
          <w:rFonts w:ascii="Arial" w:hAnsi="Arial" w:cs="Arial"/>
          <w:sz w:val="16"/>
          <w:szCs w:val="16"/>
        </w:rPr>
        <w:t xml:space="preserve">(dane wnioskodawcy, e-mail, </w:t>
      </w:r>
      <w:proofErr w:type="spellStart"/>
      <w:r w:rsidRPr="00866EC9">
        <w:rPr>
          <w:rFonts w:ascii="Arial" w:hAnsi="Arial" w:cs="Arial"/>
          <w:sz w:val="16"/>
          <w:szCs w:val="16"/>
        </w:rPr>
        <w:t>tel</w:t>
      </w:r>
      <w:proofErr w:type="spellEnd"/>
      <w:r w:rsidRPr="00866EC9">
        <w:rPr>
          <w:rFonts w:ascii="Arial" w:hAnsi="Arial" w:cs="Arial"/>
          <w:sz w:val="16"/>
          <w:szCs w:val="16"/>
        </w:rPr>
        <w:t>)</w:t>
      </w:r>
    </w:p>
    <w:p w:rsidR="002239B4" w:rsidRPr="00866EC9" w:rsidRDefault="00866EC9" w:rsidP="00866EC9">
      <w:pPr>
        <w:spacing w:after="0"/>
        <w:ind w:left="4253"/>
        <w:jc w:val="both"/>
        <w:rPr>
          <w:rFonts w:ascii="Arial" w:hAnsi="Arial" w:cs="Arial"/>
          <w:b/>
          <w:sz w:val="24"/>
          <w:szCs w:val="24"/>
        </w:rPr>
      </w:pPr>
      <w:r>
        <w:rPr>
          <w:rFonts w:ascii="Arial" w:hAnsi="Arial" w:cs="Arial"/>
          <w:b/>
          <w:sz w:val="24"/>
          <w:szCs w:val="24"/>
        </w:rPr>
        <w:t>STAROSTA POWIATU GRYFICKIEGO</w:t>
      </w:r>
    </w:p>
    <w:p w:rsidR="002239B4" w:rsidRPr="00866EC9" w:rsidRDefault="002239B4" w:rsidP="00866EC9">
      <w:pPr>
        <w:spacing w:after="0"/>
        <w:ind w:left="4253"/>
        <w:jc w:val="both"/>
        <w:rPr>
          <w:rFonts w:ascii="Arial" w:hAnsi="Arial" w:cs="Arial"/>
        </w:rPr>
      </w:pPr>
      <w:r w:rsidRPr="00866EC9">
        <w:rPr>
          <w:rFonts w:ascii="Arial" w:hAnsi="Arial" w:cs="Arial"/>
        </w:rPr>
        <w:t>PLAC ZWYCIESTWA 37</w:t>
      </w:r>
    </w:p>
    <w:p w:rsidR="002239B4" w:rsidRPr="00866EC9" w:rsidRDefault="002239B4" w:rsidP="00866EC9">
      <w:pPr>
        <w:spacing w:after="0"/>
        <w:ind w:left="4253"/>
        <w:jc w:val="both"/>
        <w:rPr>
          <w:rFonts w:ascii="Arial" w:hAnsi="Arial" w:cs="Arial"/>
        </w:rPr>
      </w:pPr>
      <w:r w:rsidRPr="00866EC9">
        <w:rPr>
          <w:rFonts w:ascii="Arial" w:hAnsi="Arial" w:cs="Arial"/>
        </w:rPr>
        <w:t>72-300 GRYFICE</w:t>
      </w:r>
    </w:p>
    <w:p w:rsidR="002239B4" w:rsidRPr="00866EC9" w:rsidRDefault="002239B4" w:rsidP="00866EC9">
      <w:pPr>
        <w:jc w:val="both"/>
        <w:rPr>
          <w:rFonts w:ascii="Arial" w:hAnsi="Arial" w:cs="Arial"/>
        </w:rPr>
      </w:pPr>
    </w:p>
    <w:p w:rsidR="002239B4" w:rsidRPr="00866EC9" w:rsidRDefault="002239B4" w:rsidP="00866EC9">
      <w:pPr>
        <w:jc w:val="center"/>
        <w:rPr>
          <w:rFonts w:ascii="Arial" w:hAnsi="Arial" w:cs="Arial"/>
          <w:b/>
        </w:rPr>
      </w:pPr>
      <w:r w:rsidRPr="00866EC9">
        <w:rPr>
          <w:rFonts w:ascii="Arial" w:hAnsi="Arial" w:cs="Arial"/>
          <w:b/>
        </w:rPr>
        <w:t>Ż</w:t>
      </w:r>
      <w:r w:rsidR="00866EC9" w:rsidRPr="00866EC9">
        <w:rPr>
          <w:rFonts w:ascii="Arial" w:hAnsi="Arial" w:cs="Arial"/>
          <w:b/>
        </w:rPr>
        <w:t>ĄDANIE  SPRZEDAŻY  NIERUCHOMOŚCI</w:t>
      </w:r>
    </w:p>
    <w:p w:rsidR="001C45B1" w:rsidRPr="00866EC9" w:rsidRDefault="00275E4B" w:rsidP="00866EC9">
      <w:pPr>
        <w:spacing w:after="0" w:line="240" w:lineRule="auto"/>
        <w:jc w:val="both"/>
        <w:rPr>
          <w:rFonts w:ascii="Arial" w:hAnsi="Arial" w:cs="Arial"/>
        </w:rPr>
      </w:pPr>
      <w:r w:rsidRPr="00866EC9">
        <w:rPr>
          <w:rFonts w:ascii="Arial" w:hAnsi="Arial" w:cs="Arial"/>
        </w:rPr>
        <w:t xml:space="preserve">           </w:t>
      </w:r>
      <w:r w:rsidR="00ED2C8D" w:rsidRPr="00866EC9">
        <w:rPr>
          <w:rFonts w:ascii="Arial" w:hAnsi="Arial" w:cs="Arial"/>
        </w:rPr>
        <w:t xml:space="preserve">Zgodnie z </w:t>
      </w:r>
      <w:r w:rsidRPr="00866EC9">
        <w:rPr>
          <w:rFonts w:ascii="Arial" w:hAnsi="Arial" w:cs="Arial"/>
        </w:rPr>
        <w:t>art. 198g ust 1 ustawy</w:t>
      </w:r>
      <w:r w:rsidR="00ED2C8D" w:rsidRPr="00866EC9">
        <w:rPr>
          <w:rFonts w:ascii="Arial" w:hAnsi="Arial" w:cs="Arial"/>
        </w:rPr>
        <w:t xml:space="preserve"> o gospodarcze nieruchomościami (Dz.U.2023, </w:t>
      </w:r>
      <w:proofErr w:type="spellStart"/>
      <w:r w:rsidR="00ED2C8D" w:rsidRPr="00866EC9">
        <w:rPr>
          <w:rFonts w:ascii="Arial" w:hAnsi="Arial" w:cs="Arial"/>
        </w:rPr>
        <w:t>poz</w:t>
      </w:r>
      <w:proofErr w:type="spellEnd"/>
      <w:r w:rsidR="00ED2C8D" w:rsidRPr="00866EC9">
        <w:rPr>
          <w:rFonts w:ascii="Arial" w:hAnsi="Arial" w:cs="Arial"/>
        </w:rPr>
        <w:t xml:space="preserve"> </w:t>
      </w:r>
      <w:r w:rsidRPr="00866EC9">
        <w:rPr>
          <w:rFonts w:ascii="Arial" w:hAnsi="Arial" w:cs="Arial"/>
        </w:rPr>
        <w:t>344 ze zm.</w:t>
      </w:r>
      <w:r w:rsidR="00ED2C8D" w:rsidRPr="00866EC9">
        <w:rPr>
          <w:rFonts w:ascii="Arial" w:hAnsi="Arial" w:cs="Arial"/>
        </w:rPr>
        <w:t xml:space="preserve">) </w:t>
      </w:r>
      <w:r w:rsidR="00ED2C8D" w:rsidRPr="00866EC9">
        <w:rPr>
          <w:rFonts w:ascii="Arial" w:hAnsi="Arial" w:cs="Arial"/>
          <w:b/>
        </w:rPr>
        <w:t>żądam zbycia prawa własności nieruchomości zabudowanej</w:t>
      </w:r>
      <w:r w:rsidR="00866EC9">
        <w:rPr>
          <w:rFonts w:ascii="Arial" w:hAnsi="Arial" w:cs="Arial"/>
          <w:b/>
        </w:rPr>
        <w:t xml:space="preserve">                             </w:t>
      </w:r>
      <w:r w:rsidR="00866EC9">
        <w:rPr>
          <w:rFonts w:ascii="Arial" w:hAnsi="Arial" w:cs="Arial"/>
        </w:rPr>
        <w:t xml:space="preserve"> o numerze </w:t>
      </w:r>
      <w:r w:rsidR="00ED2C8D" w:rsidRPr="00866EC9">
        <w:rPr>
          <w:rFonts w:ascii="Arial" w:hAnsi="Arial" w:cs="Arial"/>
        </w:rPr>
        <w:t>ewidencyjnym…</w:t>
      </w:r>
      <w:r w:rsidRPr="00866EC9">
        <w:rPr>
          <w:rFonts w:ascii="Arial" w:hAnsi="Arial" w:cs="Arial"/>
        </w:rPr>
        <w:t>……</w:t>
      </w:r>
      <w:r w:rsidR="00ED2C8D" w:rsidRPr="00866EC9">
        <w:rPr>
          <w:rFonts w:ascii="Arial" w:hAnsi="Arial" w:cs="Arial"/>
        </w:rPr>
        <w:t>…</w:t>
      </w:r>
      <w:proofErr w:type="spellStart"/>
      <w:r w:rsidR="00ED2C8D" w:rsidRPr="00866EC9">
        <w:rPr>
          <w:rFonts w:ascii="Arial" w:hAnsi="Arial" w:cs="Arial"/>
        </w:rPr>
        <w:t>obr</w:t>
      </w:r>
      <w:proofErr w:type="spellEnd"/>
      <w:r w:rsidR="00ED2C8D" w:rsidRPr="00866EC9">
        <w:rPr>
          <w:rFonts w:ascii="Arial" w:hAnsi="Arial" w:cs="Arial"/>
        </w:rPr>
        <w:t>. ……..KW……, której jestem użytkownikiem wieczystym</w:t>
      </w:r>
      <w:r w:rsidR="001C45B1" w:rsidRPr="00866EC9">
        <w:rPr>
          <w:rFonts w:ascii="Arial" w:hAnsi="Arial" w:cs="Arial"/>
        </w:rPr>
        <w:t>.</w:t>
      </w:r>
    </w:p>
    <w:p w:rsidR="00866EC9" w:rsidRPr="00866EC9" w:rsidRDefault="00275E4B" w:rsidP="00866EC9">
      <w:pPr>
        <w:spacing w:after="0" w:line="240" w:lineRule="auto"/>
        <w:jc w:val="both"/>
        <w:rPr>
          <w:rFonts w:ascii="Arial" w:hAnsi="Arial" w:cs="Arial"/>
        </w:rPr>
      </w:pPr>
      <w:r w:rsidRPr="00866EC9">
        <w:rPr>
          <w:rFonts w:ascii="Arial" w:hAnsi="Arial" w:cs="Arial"/>
        </w:rPr>
        <w:t xml:space="preserve">         </w:t>
      </w:r>
    </w:p>
    <w:p w:rsidR="001C45B1" w:rsidRPr="00866EC9" w:rsidRDefault="00866EC9" w:rsidP="00866EC9">
      <w:pPr>
        <w:spacing w:after="0" w:line="240" w:lineRule="auto"/>
        <w:jc w:val="both"/>
        <w:rPr>
          <w:rFonts w:ascii="Arial" w:hAnsi="Arial" w:cs="Arial"/>
        </w:rPr>
      </w:pPr>
      <w:r w:rsidRPr="00866EC9">
        <w:rPr>
          <w:rFonts w:ascii="Arial" w:hAnsi="Arial" w:cs="Arial"/>
        </w:rPr>
        <w:t xml:space="preserve">        </w:t>
      </w:r>
      <w:r w:rsidR="00275E4B" w:rsidRPr="00866EC9">
        <w:rPr>
          <w:rFonts w:ascii="Arial" w:hAnsi="Arial" w:cs="Arial"/>
        </w:rPr>
        <w:t xml:space="preserve">  </w:t>
      </w:r>
      <w:r w:rsidR="001C45B1" w:rsidRPr="00866EC9">
        <w:rPr>
          <w:rFonts w:ascii="Arial" w:hAnsi="Arial" w:cs="Arial"/>
        </w:rPr>
        <w:t>Jednocześnie oświadczam, że prowadzę działalność gospodarczą/nie prowadzę</w:t>
      </w:r>
      <w:r w:rsidR="001C45B1" w:rsidRPr="00866EC9">
        <w:rPr>
          <w:rFonts w:ascii="Arial" w:hAnsi="Arial" w:cs="Arial"/>
          <w:vertAlign w:val="superscript"/>
        </w:rPr>
        <w:t>*</w:t>
      </w:r>
      <w:r w:rsidR="001C45B1" w:rsidRPr="00866EC9">
        <w:rPr>
          <w:rFonts w:ascii="Arial" w:hAnsi="Arial" w:cs="Arial"/>
        </w:rPr>
        <w:t xml:space="preserve"> działalności gospodarczej </w:t>
      </w:r>
      <w:r w:rsidR="001C45B1" w:rsidRPr="00866EC9">
        <w:rPr>
          <w:rFonts w:ascii="Arial" w:hAnsi="Arial" w:cs="Arial"/>
          <w:b/>
        </w:rPr>
        <w:t>na wyżej wymienionej nieruchomości</w:t>
      </w:r>
      <w:r w:rsidR="001C45B1" w:rsidRPr="00866EC9">
        <w:rPr>
          <w:rFonts w:ascii="Arial" w:hAnsi="Arial" w:cs="Arial"/>
        </w:rPr>
        <w:t>.</w:t>
      </w:r>
    </w:p>
    <w:p w:rsidR="00866EC9" w:rsidRPr="00866EC9" w:rsidRDefault="00866EC9" w:rsidP="00866EC9">
      <w:pPr>
        <w:spacing w:after="0" w:line="240" w:lineRule="auto"/>
        <w:jc w:val="both"/>
        <w:rPr>
          <w:rFonts w:ascii="Arial" w:hAnsi="Arial" w:cs="Arial"/>
        </w:rPr>
      </w:pPr>
    </w:p>
    <w:p w:rsidR="00275E4B" w:rsidRPr="00866EC9" w:rsidRDefault="00275E4B" w:rsidP="00866EC9">
      <w:pPr>
        <w:spacing w:after="0" w:line="240" w:lineRule="auto"/>
        <w:jc w:val="both"/>
        <w:rPr>
          <w:rFonts w:ascii="Arial" w:hAnsi="Arial" w:cs="Arial"/>
          <w:u w:val="single"/>
        </w:rPr>
      </w:pPr>
      <w:r w:rsidRPr="00866EC9">
        <w:rPr>
          <w:rFonts w:ascii="Arial" w:hAnsi="Arial" w:cs="Arial"/>
          <w:u w:val="single"/>
        </w:rPr>
        <w:t xml:space="preserve">Wypełnia podmiot prowadzący działalność gospodarcza na </w:t>
      </w:r>
      <w:proofErr w:type="spellStart"/>
      <w:r w:rsidRPr="00866EC9">
        <w:rPr>
          <w:rFonts w:ascii="Arial" w:hAnsi="Arial" w:cs="Arial"/>
          <w:u w:val="single"/>
        </w:rPr>
        <w:t>ww</w:t>
      </w:r>
      <w:proofErr w:type="spellEnd"/>
      <w:r w:rsidRPr="00866EC9">
        <w:rPr>
          <w:rFonts w:ascii="Arial" w:hAnsi="Arial" w:cs="Arial"/>
          <w:u w:val="single"/>
        </w:rPr>
        <w:t xml:space="preserve"> nieruchomości:</w:t>
      </w:r>
    </w:p>
    <w:p w:rsidR="00866EC9" w:rsidRDefault="00275E4B" w:rsidP="00866EC9">
      <w:pPr>
        <w:spacing w:after="0" w:line="240" w:lineRule="auto"/>
        <w:jc w:val="both"/>
        <w:rPr>
          <w:rFonts w:ascii="Arial" w:hAnsi="Arial" w:cs="Arial"/>
        </w:rPr>
      </w:pPr>
      <w:r w:rsidRPr="00866EC9">
        <w:rPr>
          <w:rFonts w:ascii="Arial" w:hAnsi="Arial" w:cs="Arial"/>
        </w:rPr>
        <w:t xml:space="preserve">          </w:t>
      </w:r>
    </w:p>
    <w:p w:rsidR="00866EC9" w:rsidRDefault="00866EC9" w:rsidP="00866EC9">
      <w:pPr>
        <w:spacing w:after="0" w:line="240" w:lineRule="auto"/>
        <w:jc w:val="both"/>
        <w:rPr>
          <w:rFonts w:ascii="Arial" w:hAnsi="Arial" w:cs="Arial"/>
        </w:rPr>
      </w:pPr>
      <w:r>
        <w:rPr>
          <w:rFonts w:ascii="Arial" w:hAnsi="Arial" w:cs="Arial"/>
        </w:rPr>
        <w:t xml:space="preserve">        </w:t>
      </w:r>
      <w:r w:rsidR="00275E4B" w:rsidRPr="00866EC9">
        <w:rPr>
          <w:rFonts w:ascii="Arial" w:hAnsi="Arial" w:cs="Arial"/>
        </w:rPr>
        <w:t xml:space="preserve"> Prowadzę działalność gospodarczą na wyżej wymienionej nieruchomości ,</w:t>
      </w:r>
    </w:p>
    <w:p w:rsidR="00275E4B" w:rsidRDefault="00275E4B" w:rsidP="00866EC9">
      <w:pPr>
        <w:spacing w:after="0" w:line="240" w:lineRule="auto"/>
        <w:jc w:val="both"/>
        <w:rPr>
          <w:rFonts w:ascii="Arial" w:hAnsi="Arial" w:cs="Arial"/>
        </w:rPr>
      </w:pPr>
      <w:r w:rsidRPr="00866EC9">
        <w:rPr>
          <w:rFonts w:ascii="Arial" w:hAnsi="Arial" w:cs="Arial"/>
        </w:rPr>
        <w:t xml:space="preserve"> pod nazwą………………., KRS…………….REGON. </w:t>
      </w:r>
    </w:p>
    <w:p w:rsidR="00866EC9" w:rsidRPr="00866EC9" w:rsidRDefault="00866EC9" w:rsidP="00866EC9">
      <w:pPr>
        <w:spacing w:after="0" w:line="240" w:lineRule="auto"/>
        <w:jc w:val="both"/>
        <w:rPr>
          <w:rFonts w:ascii="Arial" w:hAnsi="Arial" w:cs="Arial"/>
        </w:rPr>
      </w:pPr>
    </w:p>
    <w:p w:rsidR="00275E4B" w:rsidRPr="00866EC9" w:rsidRDefault="00275E4B" w:rsidP="00866EC9">
      <w:pPr>
        <w:spacing w:after="0" w:line="240" w:lineRule="auto"/>
        <w:jc w:val="both"/>
        <w:rPr>
          <w:rFonts w:ascii="Arial" w:hAnsi="Arial" w:cs="Arial"/>
        </w:rPr>
      </w:pPr>
      <w:r w:rsidRPr="00866EC9">
        <w:rPr>
          <w:rFonts w:ascii="Arial" w:hAnsi="Arial" w:cs="Arial"/>
        </w:rPr>
        <w:t xml:space="preserve">         W ostatnich 3 latach otrzymałam/</w:t>
      </w:r>
      <w:proofErr w:type="spellStart"/>
      <w:r w:rsidRPr="00866EC9">
        <w:rPr>
          <w:rFonts w:ascii="Arial" w:hAnsi="Arial" w:cs="Arial"/>
        </w:rPr>
        <w:t>łem</w:t>
      </w:r>
      <w:proofErr w:type="spellEnd"/>
      <w:r w:rsidRPr="00866EC9">
        <w:rPr>
          <w:rFonts w:ascii="Arial" w:hAnsi="Arial" w:cs="Arial"/>
        </w:rPr>
        <w:t xml:space="preserve"> pomoc publiczną de  </w:t>
      </w:r>
      <w:proofErr w:type="spellStart"/>
      <w:r w:rsidRPr="00866EC9">
        <w:rPr>
          <w:rFonts w:ascii="Arial" w:hAnsi="Arial" w:cs="Arial"/>
        </w:rPr>
        <w:t>minimis</w:t>
      </w:r>
      <w:proofErr w:type="spellEnd"/>
      <w:r w:rsidRPr="00866EC9">
        <w:rPr>
          <w:rFonts w:ascii="Arial" w:hAnsi="Arial" w:cs="Arial"/>
        </w:rPr>
        <w:t xml:space="preserve"> </w:t>
      </w:r>
      <w:r w:rsidR="00866EC9">
        <w:rPr>
          <w:rFonts w:ascii="Arial" w:hAnsi="Arial" w:cs="Arial"/>
        </w:rPr>
        <w:t xml:space="preserve">                                       </w:t>
      </w:r>
      <w:r w:rsidRPr="00866EC9">
        <w:rPr>
          <w:rFonts w:ascii="Arial" w:hAnsi="Arial" w:cs="Arial"/>
        </w:rPr>
        <w:t>w wysokości……………..</w:t>
      </w:r>
      <w:r w:rsidR="00866EC9">
        <w:rPr>
          <w:rFonts w:ascii="Arial" w:hAnsi="Arial" w:cs="Arial"/>
        </w:rPr>
        <w:t xml:space="preserve"> </w:t>
      </w:r>
      <w:r w:rsidRPr="00866EC9">
        <w:rPr>
          <w:rFonts w:ascii="Arial" w:hAnsi="Arial" w:cs="Arial"/>
        </w:rPr>
        <w:t>co potwierdza załączony raport.</w:t>
      </w:r>
    </w:p>
    <w:p w:rsidR="00275E4B" w:rsidRPr="00866EC9" w:rsidRDefault="00275E4B" w:rsidP="00866EC9">
      <w:pPr>
        <w:spacing w:after="0" w:line="240" w:lineRule="auto"/>
        <w:jc w:val="both"/>
        <w:rPr>
          <w:rFonts w:ascii="Arial" w:hAnsi="Arial" w:cs="Arial"/>
        </w:rPr>
      </w:pPr>
    </w:p>
    <w:p w:rsidR="00275E4B" w:rsidRPr="00866EC9" w:rsidRDefault="00866EC9" w:rsidP="00866EC9">
      <w:pPr>
        <w:spacing w:after="0" w:line="240" w:lineRule="auto"/>
        <w:jc w:val="both"/>
        <w:rPr>
          <w:rFonts w:ascii="Arial" w:hAnsi="Arial" w:cs="Arial"/>
          <w:vertAlign w:val="superscript"/>
        </w:rPr>
      </w:pPr>
      <w:r w:rsidRPr="00866EC9">
        <w:rPr>
          <w:rFonts w:ascii="Arial" w:hAnsi="Arial" w:cs="Arial"/>
          <w:vertAlign w:val="superscript"/>
        </w:rPr>
        <w:t>*niepotrzebne skreślić</w:t>
      </w:r>
    </w:p>
    <w:p w:rsidR="00866EC9" w:rsidRPr="00866EC9" w:rsidRDefault="008B4DA7" w:rsidP="00675A97">
      <w:pPr>
        <w:spacing w:after="0" w:line="240" w:lineRule="auto"/>
        <w:jc w:val="both"/>
        <w:rPr>
          <w:rFonts w:ascii="Arial" w:hAnsi="Arial" w:cs="Arial"/>
          <w:vertAlign w:val="superscript"/>
        </w:rPr>
      </w:pPr>
      <w:r>
        <w:rPr>
          <w:rFonts w:ascii="Arial" w:hAnsi="Arial" w:cs="Arial"/>
          <w:vertAlign w:val="superscript"/>
        </w:rPr>
        <w:t xml:space="preserve">Złożone oświadczenia składam </w:t>
      </w:r>
      <w:r w:rsidR="00675A97">
        <w:rPr>
          <w:rFonts w:ascii="Arial" w:hAnsi="Arial" w:cs="Arial"/>
          <w:vertAlign w:val="superscript"/>
        </w:rPr>
        <w:t>u</w:t>
      </w:r>
      <w:r w:rsidRPr="008B4DA7">
        <w:rPr>
          <w:rFonts w:ascii="Arial" w:hAnsi="Arial" w:cs="Arial"/>
          <w:vertAlign w:val="superscript"/>
        </w:rPr>
        <w:t>przedzona/y o odpowiedzialności karnej za z</w:t>
      </w:r>
      <w:r w:rsidR="00675A97">
        <w:rPr>
          <w:rFonts w:ascii="Arial" w:hAnsi="Arial" w:cs="Arial"/>
          <w:vertAlign w:val="superscript"/>
        </w:rPr>
        <w:t xml:space="preserve">łożenie fałszywego oświadczenia </w:t>
      </w:r>
      <w:r w:rsidRPr="008B4DA7">
        <w:rPr>
          <w:rFonts w:ascii="Arial" w:hAnsi="Arial" w:cs="Arial"/>
          <w:vertAlign w:val="superscript"/>
        </w:rPr>
        <w:t xml:space="preserve">wynikającej z art. 233 § 1 </w:t>
      </w:r>
      <w:r w:rsidR="00675A97" w:rsidRPr="00675A97">
        <w:rPr>
          <w:rFonts w:ascii="Arial" w:hAnsi="Arial" w:cs="Arial"/>
          <w:vertAlign w:val="superscript"/>
        </w:rPr>
        <w:t xml:space="preserve">ustawy z dnia 6 czerwca 1997 r. </w:t>
      </w:r>
      <w:r w:rsidR="00675A97">
        <w:rPr>
          <w:rFonts w:ascii="Arial" w:hAnsi="Arial" w:cs="Arial"/>
          <w:vertAlign w:val="superscript"/>
        </w:rPr>
        <w:t>Kodeks Karny</w:t>
      </w:r>
      <w:r w:rsidRPr="008B4DA7">
        <w:rPr>
          <w:rFonts w:ascii="Arial" w:hAnsi="Arial" w:cs="Arial"/>
          <w:vertAlign w:val="superscript"/>
        </w:rPr>
        <w:t xml:space="preserve"> – „kto skła</w:t>
      </w:r>
      <w:r w:rsidR="00675A97">
        <w:rPr>
          <w:rFonts w:ascii="Arial" w:hAnsi="Arial" w:cs="Arial"/>
          <w:vertAlign w:val="superscript"/>
        </w:rPr>
        <w:t xml:space="preserve">dając zeznania mające służyć za </w:t>
      </w:r>
      <w:r w:rsidRPr="008B4DA7">
        <w:rPr>
          <w:rFonts w:ascii="Arial" w:hAnsi="Arial" w:cs="Arial"/>
          <w:vertAlign w:val="superscript"/>
        </w:rPr>
        <w:t>dowód w postępowaniu sądowym lub w innym postęp</w:t>
      </w:r>
      <w:r w:rsidR="00675A97">
        <w:rPr>
          <w:rFonts w:ascii="Arial" w:hAnsi="Arial" w:cs="Arial"/>
          <w:vertAlign w:val="superscript"/>
        </w:rPr>
        <w:t xml:space="preserve">owaniu prowadzonym na podstawie </w:t>
      </w:r>
      <w:r w:rsidRPr="008B4DA7">
        <w:rPr>
          <w:rFonts w:ascii="Arial" w:hAnsi="Arial" w:cs="Arial"/>
          <w:vertAlign w:val="superscript"/>
        </w:rPr>
        <w:t xml:space="preserve">ustawy, zeznaje nieprawdę lub zataja prawdę, podlega </w:t>
      </w:r>
      <w:r w:rsidR="00675A97">
        <w:rPr>
          <w:rFonts w:ascii="Arial" w:hAnsi="Arial" w:cs="Arial"/>
          <w:vertAlign w:val="superscript"/>
        </w:rPr>
        <w:t xml:space="preserve">karze pozbawienia wolności od 6 </w:t>
      </w:r>
      <w:r w:rsidRPr="008B4DA7">
        <w:rPr>
          <w:rFonts w:ascii="Arial" w:hAnsi="Arial" w:cs="Arial"/>
          <w:vertAlign w:val="superscript"/>
        </w:rPr>
        <w:t xml:space="preserve">miesięcy do lat 8” </w:t>
      </w:r>
      <w:r w:rsidR="00675A97">
        <w:rPr>
          <w:rFonts w:ascii="Arial" w:hAnsi="Arial" w:cs="Arial"/>
          <w:vertAlign w:val="superscript"/>
        </w:rPr>
        <w:t>.</w:t>
      </w:r>
    </w:p>
    <w:p w:rsidR="00866EC9" w:rsidRPr="00866EC9" w:rsidRDefault="00866EC9" w:rsidP="00866EC9">
      <w:pPr>
        <w:spacing w:after="0" w:line="240" w:lineRule="auto"/>
        <w:jc w:val="both"/>
        <w:rPr>
          <w:rFonts w:ascii="Arial" w:hAnsi="Arial" w:cs="Arial"/>
          <w:vertAlign w:val="superscript"/>
        </w:rPr>
      </w:pPr>
    </w:p>
    <w:p w:rsidR="00675A97" w:rsidRDefault="00675A97" w:rsidP="00866EC9">
      <w:pPr>
        <w:spacing w:after="0" w:line="240" w:lineRule="auto"/>
        <w:ind w:left="4111"/>
        <w:jc w:val="both"/>
        <w:rPr>
          <w:rFonts w:ascii="Arial" w:hAnsi="Arial" w:cs="Arial"/>
          <w:vertAlign w:val="superscript"/>
        </w:rPr>
      </w:pPr>
    </w:p>
    <w:p w:rsidR="00866EC9" w:rsidRPr="00866EC9" w:rsidRDefault="00866EC9" w:rsidP="00866EC9">
      <w:pPr>
        <w:spacing w:after="0" w:line="240" w:lineRule="auto"/>
        <w:ind w:left="4111"/>
        <w:jc w:val="both"/>
        <w:rPr>
          <w:rFonts w:ascii="Arial" w:hAnsi="Arial" w:cs="Arial"/>
          <w:vertAlign w:val="superscript"/>
        </w:rPr>
      </w:pPr>
      <w:r w:rsidRPr="00866EC9">
        <w:rPr>
          <w:rFonts w:ascii="Arial" w:hAnsi="Arial" w:cs="Arial"/>
          <w:vertAlign w:val="superscript"/>
        </w:rPr>
        <w:t>……………………………………………………………………………………..</w:t>
      </w:r>
    </w:p>
    <w:p w:rsidR="00866EC9" w:rsidRPr="00866EC9" w:rsidRDefault="00866EC9" w:rsidP="00866EC9">
      <w:pPr>
        <w:spacing w:after="0" w:line="240" w:lineRule="auto"/>
        <w:ind w:left="4111"/>
        <w:jc w:val="both"/>
        <w:rPr>
          <w:rFonts w:ascii="Arial" w:hAnsi="Arial" w:cs="Arial"/>
          <w:vertAlign w:val="superscript"/>
        </w:rPr>
      </w:pPr>
      <w:r>
        <w:rPr>
          <w:rFonts w:ascii="Arial" w:hAnsi="Arial" w:cs="Arial"/>
          <w:vertAlign w:val="superscript"/>
        </w:rPr>
        <w:t xml:space="preserve">                                                           </w:t>
      </w:r>
      <w:r w:rsidRPr="00866EC9">
        <w:rPr>
          <w:rFonts w:ascii="Arial" w:hAnsi="Arial" w:cs="Arial"/>
          <w:vertAlign w:val="superscript"/>
        </w:rPr>
        <w:t>podpis</w:t>
      </w:r>
    </w:p>
    <w:p w:rsidR="00866EC9" w:rsidRPr="00866EC9" w:rsidRDefault="00866EC9" w:rsidP="00866EC9">
      <w:pPr>
        <w:spacing w:after="0" w:line="240" w:lineRule="auto"/>
        <w:jc w:val="both"/>
        <w:rPr>
          <w:rFonts w:ascii="Arial" w:hAnsi="Arial" w:cs="Arial"/>
          <w:vertAlign w:val="superscript"/>
        </w:rPr>
      </w:pPr>
    </w:p>
    <w:p w:rsidR="00866EC9" w:rsidRPr="00866EC9" w:rsidRDefault="00866EC9" w:rsidP="00866EC9">
      <w:pPr>
        <w:spacing w:after="0" w:line="240" w:lineRule="auto"/>
        <w:jc w:val="both"/>
        <w:rPr>
          <w:rFonts w:ascii="Arial" w:hAnsi="Arial" w:cs="Arial"/>
          <w:vertAlign w:val="superscript"/>
        </w:rPr>
      </w:pPr>
    </w:p>
    <w:p w:rsidR="00866EC9" w:rsidRPr="00866EC9" w:rsidRDefault="00866EC9" w:rsidP="00866EC9">
      <w:pPr>
        <w:spacing w:after="0" w:line="240" w:lineRule="auto"/>
        <w:jc w:val="both"/>
        <w:rPr>
          <w:rFonts w:ascii="Arial" w:hAnsi="Arial" w:cs="Arial"/>
          <w:vertAlign w:val="superscript"/>
        </w:rPr>
      </w:pPr>
    </w:p>
    <w:p w:rsidR="00866EC9" w:rsidRPr="00866EC9" w:rsidRDefault="00866EC9" w:rsidP="00866EC9">
      <w:pPr>
        <w:spacing w:after="0" w:line="240" w:lineRule="auto"/>
        <w:jc w:val="both"/>
        <w:rPr>
          <w:rFonts w:ascii="Arial" w:hAnsi="Arial" w:cs="Arial"/>
          <w:vertAlign w:val="superscript"/>
        </w:rPr>
      </w:pPr>
    </w:p>
    <w:p w:rsidR="00866EC9" w:rsidRPr="00675A97" w:rsidRDefault="00432033" w:rsidP="00866EC9">
      <w:pPr>
        <w:spacing w:after="0" w:line="240" w:lineRule="auto"/>
        <w:jc w:val="both"/>
        <w:rPr>
          <w:rFonts w:ascii="Arial" w:hAnsi="Arial" w:cs="Arial"/>
          <w:sz w:val="20"/>
          <w:szCs w:val="20"/>
        </w:rPr>
      </w:pPr>
      <w:r w:rsidRPr="00675A97">
        <w:rPr>
          <w:rFonts w:ascii="Arial" w:hAnsi="Arial" w:cs="Arial"/>
          <w:sz w:val="20"/>
          <w:szCs w:val="20"/>
        </w:rPr>
        <w:t>UWAGA:</w:t>
      </w:r>
    </w:p>
    <w:p w:rsidR="00432033" w:rsidRPr="00675A97" w:rsidRDefault="00432033" w:rsidP="00675A97">
      <w:pPr>
        <w:tabs>
          <w:tab w:val="left" w:pos="284"/>
        </w:tabs>
        <w:spacing w:after="0" w:line="240" w:lineRule="auto"/>
        <w:jc w:val="both"/>
        <w:rPr>
          <w:rFonts w:ascii="Arial" w:hAnsi="Arial" w:cs="Arial"/>
          <w:sz w:val="20"/>
          <w:szCs w:val="20"/>
        </w:rPr>
      </w:pPr>
      <w:r w:rsidRPr="00675A97">
        <w:rPr>
          <w:rFonts w:ascii="Arial" w:hAnsi="Arial" w:cs="Arial"/>
          <w:sz w:val="20"/>
          <w:szCs w:val="20"/>
        </w:rPr>
        <w:t>W przypadku współużytkowania wieczystego wniosek muszą złożyć wszyscy współużytkownicy wieczyści.</w:t>
      </w:r>
      <w:r w:rsidR="00ED2C8D" w:rsidRPr="00675A97">
        <w:rPr>
          <w:rFonts w:ascii="Arial" w:hAnsi="Arial" w:cs="Arial"/>
          <w:sz w:val="20"/>
          <w:szCs w:val="20"/>
        </w:rPr>
        <w:t xml:space="preserve"> </w:t>
      </w:r>
    </w:p>
    <w:p w:rsidR="00432033" w:rsidRPr="00675A97" w:rsidRDefault="00275E4B" w:rsidP="00675A97">
      <w:pPr>
        <w:spacing w:after="0" w:line="240" w:lineRule="auto"/>
        <w:jc w:val="both"/>
        <w:rPr>
          <w:rFonts w:ascii="Arial" w:hAnsi="Arial" w:cs="Arial"/>
          <w:sz w:val="20"/>
          <w:szCs w:val="20"/>
        </w:rPr>
      </w:pPr>
      <w:r w:rsidRPr="00675A97">
        <w:rPr>
          <w:rFonts w:ascii="Arial" w:hAnsi="Arial" w:cs="Arial"/>
          <w:sz w:val="20"/>
          <w:szCs w:val="20"/>
        </w:rPr>
        <w:t>Załączniki:</w:t>
      </w:r>
    </w:p>
    <w:p w:rsidR="00866EC9" w:rsidRPr="00675A97" w:rsidRDefault="00275E4B" w:rsidP="00675A97">
      <w:pPr>
        <w:spacing w:after="0" w:line="240" w:lineRule="auto"/>
        <w:jc w:val="both"/>
        <w:rPr>
          <w:rFonts w:ascii="Arial" w:hAnsi="Arial" w:cs="Arial"/>
          <w:sz w:val="20"/>
          <w:szCs w:val="20"/>
        </w:rPr>
      </w:pPr>
      <w:r w:rsidRPr="00675A97">
        <w:rPr>
          <w:rFonts w:ascii="Arial" w:hAnsi="Arial" w:cs="Arial"/>
          <w:sz w:val="20"/>
          <w:szCs w:val="20"/>
        </w:rPr>
        <w:t xml:space="preserve">Raport pomocy de  </w:t>
      </w:r>
      <w:proofErr w:type="spellStart"/>
      <w:r w:rsidRPr="00675A97">
        <w:rPr>
          <w:rFonts w:ascii="Arial" w:hAnsi="Arial" w:cs="Arial"/>
          <w:sz w:val="20"/>
          <w:szCs w:val="20"/>
        </w:rPr>
        <w:t>minimis</w:t>
      </w:r>
      <w:proofErr w:type="spellEnd"/>
      <w:r w:rsidRPr="00675A97">
        <w:rPr>
          <w:rFonts w:ascii="Arial" w:hAnsi="Arial" w:cs="Arial"/>
          <w:sz w:val="20"/>
          <w:szCs w:val="20"/>
        </w:rPr>
        <w:t xml:space="preserve"> </w:t>
      </w:r>
      <w:r w:rsidR="00795A43" w:rsidRPr="00675A97">
        <w:rPr>
          <w:rFonts w:ascii="Arial" w:hAnsi="Arial" w:cs="Arial"/>
          <w:sz w:val="20"/>
          <w:szCs w:val="20"/>
        </w:rPr>
        <w:t>( tylko prowadzący działalność gospodarczą )</w:t>
      </w:r>
    </w:p>
    <w:p w:rsidR="00675A97" w:rsidRDefault="00675A97" w:rsidP="00866EC9">
      <w:pPr>
        <w:jc w:val="both"/>
        <w:rPr>
          <w:rFonts w:ascii="Arial" w:hAnsi="Arial" w:cs="Arial"/>
        </w:rPr>
      </w:pPr>
    </w:p>
    <w:p w:rsidR="002239B4" w:rsidRPr="00866EC9" w:rsidRDefault="002239B4" w:rsidP="00866EC9">
      <w:pPr>
        <w:jc w:val="both"/>
        <w:rPr>
          <w:rFonts w:ascii="Arial" w:hAnsi="Arial" w:cs="Arial"/>
        </w:rPr>
      </w:pPr>
      <w:bookmarkStart w:id="0" w:name="_GoBack"/>
      <w:bookmarkEnd w:id="0"/>
      <w:r w:rsidRPr="00866EC9">
        <w:rPr>
          <w:rFonts w:ascii="Arial" w:hAnsi="Arial" w:cs="Arial"/>
        </w:rPr>
        <w:lastRenderedPageBreak/>
        <w:t>INFORMACJA</w:t>
      </w:r>
    </w:p>
    <w:p w:rsidR="002239B4" w:rsidRPr="00866EC9" w:rsidRDefault="002239B4" w:rsidP="00866EC9">
      <w:pPr>
        <w:spacing w:after="0" w:line="240" w:lineRule="auto"/>
        <w:jc w:val="both"/>
        <w:rPr>
          <w:rFonts w:ascii="Arial" w:hAnsi="Arial" w:cs="Arial"/>
        </w:rPr>
      </w:pPr>
      <w:r w:rsidRPr="00866EC9">
        <w:rPr>
          <w:rFonts w:ascii="Arial" w:hAnsi="Arial" w:cs="Arial"/>
        </w:rPr>
        <w:t xml:space="preserve">Zgodnie z ustawa o gospodarcze nieruchomościami (Dz.U.2023, </w:t>
      </w:r>
      <w:proofErr w:type="spellStart"/>
      <w:r w:rsidRPr="00866EC9">
        <w:rPr>
          <w:rFonts w:ascii="Arial" w:hAnsi="Arial" w:cs="Arial"/>
        </w:rPr>
        <w:t>poz</w:t>
      </w:r>
      <w:proofErr w:type="spellEnd"/>
      <w:r w:rsidRPr="00866EC9">
        <w:rPr>
          <w:rFonts w:ascii="Arial" w:hAnsi="Arial" w:cs="Arial"/>
        </w:rPr>
        <w:t xml:space="preserve"> 344 ze zm. ) użytkownik wieczysty może wystąpić </w:t>
      </w:r>
      <w:r w:rsidRPr="00866EC9">
        <w:rPr>
          <w:rFonts w:ascii="Arial" w:hAnsi="Arial" w:cs="Arial"/>
          <w:b/>
        </w:rPr>
        <w:t>najpóźniej do 31 sierpnia 2024r.</w:t>
      </w:r>
      <w:r w:rsidRPr="00866EC9">
        <w:rPr>
          <w:rFonts w:ascii="Arial" w:hAnsi="Arial" w:cs="Arial"/>
        </w:rPr>
        <w:t xml:space="preserve">  z żądaniem zbycia prawa własności nieruchomości zabudowanej na jego rzecz jeśli spełni poniższe warunki:</w:t>
      </w:r>
    </w:p>
    <w:p w:rsidR="002239B4" w:rsidRPr="00866EC9" w:rsidRDefault="002239B4" w:rsidP="00866EC9">
      <w:pPr>
        <w:spacing w:after="0" w:line="240" w:lineRule="auto"/>
        <w:jc w:val="both"/>
        <w:rPr>
          <w:rFonts w:ascii="Arial" w:hAnsi="Arial" w:cs="Arial"/>
        </w:rPr>
      </w:pPr>
      <w:r w:rsidRPr="00866EC9">
        <w:rPr>
          <w:rFonts w:ascii="Arial" w:hAnsi="Arial" w:cs="Arial"/>
        </w:rPr>
        <w:t>Art. 198g. 1. Użytkownik wieczysty nieruchomości gruntowej w terminie 12 miesięcy od dnia wejścia w życie ustawy z dnia 26 maja 2023 r. o zmianie ustawy o samorządzie gminnym, ustaw</w:t>
      </w:r>
      <w:r w:rsidR="001C45B1" w:rsidRPr="00866EC9">
        <w:rPr>
          <w:rFonts w:ascii="Arial" w:hAnsi="Arial" w:cs="Arial"/>
        </w:rPr>
        <w:t xml:space="preserve">y o </w:t>
      </w:r>
      <w:r w:rsidRPr="00866EC9">
        <w:rPr>
          <w:rFonts w:ascii="Arial" w:hAnsi="Arial" w:cs="Arial"/>
        </w:rPr>
        <w:t xml:space="preserve">społecznych formach rozwoju mieszkalnictwa, ustawy o gospodarce nieruchomościami, ustawy o podatku od czynności cywilnoprawnych oraz niektórych </w:t>
      </w:r>
      <w:r w:rsidR="00866EC9">
        <w:rPr>
          <w:rFonts w:ascii="Arial" w:hAnsi="Arial" w:cs="Arial"/>
        </w:rPr>
        <w:t xml:space="preserve">innych ustaw (Dz. U. poz. 1463) </w:t>
      </w:r>
      <w:r w:rsidRPr="00866EC9">
        <w:rPr>
          <w:rFonts w:ascii="Arial" w:hAnsi="Arial" w:cs="Arial"/>
        </w:rPr>
        <w:t>może wystąpić z żądaniem sprzedaży tej nieruchomości na jego rzecz.</w:t>
      </w:r>
    </w:p>
    <w:p w:rsidR="002239B4" w:rsidRPr="00866EC9" w:rsidRDefault="002239B4" w:rsidP="00866EC9">
      <w:pPr>
        <w:spacing w:after="0" w:line="240" w:lineRule="auto"/>
        <w:jc w:val="both"/>
        <w:rPr>
          <w:rFonts w:ascii="Arial" w:hAnsi="Arial" w:cs="Arial"/>
        </w:rPr>
      </w:pPr>
      <w:r w:rsidRPr="00866EC9">
        <w:rPr>
          <w:rFonts w:ascii="Arial" w:hAnsi="Arial" w:cs="Arial"/>
        </w:rPr>
        <w:t>2. Żądanie sprzedaży, o którym mowa w ust. 1, nie przysługuje:</w:t>
      </w:r>
    </w:p>
    <w:p w:rsidR="002239B4" w:rsidRPr="00866EC9" w:rsidRDefault="002239B4" w:rsidP="00866EC9">
      <w:pPr>
        <w:spacing w:after="0" w:line="240" w:lineRule="auto"/>
        <w:jc w:val="both"/>
        <w:rPr>
          <w:rFonts w:ascii="Arial" w:hAnsi="Arial" w:cs="Arial"/>
        </w:rPr>
      </w:pPr>
      <w:r w:rsidRPr="00866EC9">
        <w:rPr>
          <w:rFonts w:ascii="Arial" w:hAnsi="Arial" w:cs="Arial"/>
        </w:rPr>
        <w:t>1) jeżeli nieruchomość została oddana w użytkowanie wieczyste po dniu 31 grudnia 1997 r.;</w:t>
      </w:r>
    </w:p>
    <w:p w:rsidR="002239B4" w:rsidRPr="00866EC9" w:rsidRDefault="002239B4" w:rsidP="00866EC9">
      <w:pPr>
        <w:spacing w:after="0" w:line="240" w:lineRule="auto"/>
        <w:jc w:val="both"/>
        <w:rPr>
          <w:rFonts w:ascii="Arial" w:hAnsi="Arial" w:cs="Arial"/>
        </w:rPr>
      </w:pPr>
      <w:r w:rsidRPr="00866EC9">
        <w:rPr>
          <w:rFonts w:ascii="Arial" w:hAnsi="Arial" w:cs="Arial"/>
        </w:rPr>
        <w:t>2) jeżeli użytkownik wieczysty nie wykonał zobowiązania określonego w umowie o oddanie nieruchomości gruntowej w użytkowanie wieczyste;</w:t>
      </w:r>
    </w:p>
    <w:p w:rsidR="002239B4" w:rsidRPr="00866EC9" w:rsidRDefault="002239B4" w:rsidP="00866EC9">
      <w:pPr>
        <w:spacing w:after="0" w:line="240" w:lineRule="auto"/>
        <w:jc w:val="both"/>
        <w:rPr>
          <w:rFonts w:ascii="Arial" w:hAnsi="Arial" w:cs="Arial"/>
        </w:rPr>
      </w:pPr>
      <w:r w:rsidRPr="00866EC9">
        <w:rPr>
          <w:rFonts w:ascii="Arial" w:hAnsi="Arial" w:cs="Arial"/>
        </w:rPr>
        <w:t>3) w odniesieniu do gruntów położonych na terenie portów i przystani morskich w rozumieniu art. 2 pkt 2 ustawy z dnia 20 grudnia 1996 r. o portach i przystaniach morskich (Dz. U. z 2022 r. poz. 1624 oraz z 2023 r. poz. 261);</w:t>
      </w:r>
    </w:p>
    <w:p w:rsidR="002239B4" w:rsidRPr="00866EC9" w:rsidRDefault="002239B4" w:rsidP="00866EC9">
      <w:pPr>
        <w:spacing w:after="0" w:line="240" w:lineRule="auto"/>
        <w:jc w:val="both"/>
        <w:rPr>
          <w:rFonts w:ascii="Arial" w:hAnsi="Arial" w:cs="Arial"/>
        </w:rPr>
      </w:pPr>
      <w:r w:rsidRPr="00866EC9">
        <w:rPr>
          <w:rFonts w:ascii="Arial" w:hAnsi="Arial" w:cs="Arial"/>
        </w:rPr>
        <w:t xml:space="preserve">4) jeżeli grunt jest wykorzystywany na prowadzenie rodzinnego ogrodu działkowego </w:t>
      </w:r>
      <w:r w:rsidR="00866EC9">
        <w:rPr>
          <w:rFonts w:ascii="Arial" w:hAnsi="Arial" w:cs="Arial"/>
        </w:rPr>
        <w:t xml:space="preserve">                    </w:t>
      </w:r>
      <w:r w:rsidRPr="00866EC9">
        <w:rPr>
          <w:rFonts w:ascii="Arial" w:hAnsi="Arial" w:cs="Arial"/>
        </w:rPr>
        <w:t>w rozumieniu art. 2 pkt 5 ustawy z dnia 13 grudnia 2013 r. o rodzinnych ogrodach działkowych;</w:t>
      </w:r>
    </w:p>
    <w:p w:rsidR="002239B4" w:rsidRPr="00866EC9" w:rsidRDefault="002239B4" w:rsidP="00866EC9">
      <w:pPr>
        <w:spacing w:after="0" w:line="240" w:lineRule="auto"/>
        <w:jc w:val="both"/>
        <w:rPr>
          <w:rFonts w:ascii="Arial" w:hAnsi="Arial" w:cs="Arial"/>
        </w:rPr>
      </w:pPr>
      <w:r w:rsidRPr="00866EC9">
        <w:rPr>
          <w:rFonts w:ascii="Arial" w:hAnsi="Arial" w:cs="Arial"/>
        </w:rPr>
        <w:t>5) w odniesieniu do nieruchomości gruntowej niezabudowanej.</w:t>
      </w:r>
    </w:p>
    <w:p w:rsidR="002239B4" w:rsidRPr="00866EC9" w:rsidRDefault="002239B4" w:rsidP="00866EC9">
      <w:pPr>
        <w:spacing w:after="0" w:line="240" w:lineRule="auto"/>
        <w:jc w:val="both"/>
        <w:rPr>
          <w:rFonts w:ascii="Arial" w:hAnsi="Arial" w:cs="Arial"/>
        </w:rPr>
      </w:pPr>
      <w:r w:rsidRPr="00866EC9">
        <w:rPr>
          <w:rFonts w:ascii="Arial" w:hAnsi="Arial" w:cs="Arial"/>
        </w:rPr>
        <w:t>3. Nie zawiera się umowy sprzedaży nieruchomości, o której mowa w ust. 1, jeżeli toczy się postępowanie o rozwiązanie umowy o oddanie tej nieruchomości w użytkowanie wieczyste.</w:t>
      </w:r>
    </w:p>
    <w:p w:rsidR="002239B4" w:rsidRPr="00866EC9" w:rsidRDefault="002239B4" w:rsidP="00866EC9">
      <w:pPr>
        <w:spacing w:after="0" w:line="240" w:lineRule="auto"/>
        <w:jc w:val="both"/>
        <w:rPr>
          <w:rFonts w:ascii="Arial" w:hAnsi="Arial" w:cs="Arial"/>
        </w:rPr>
      </w:pPr>
      <w:r w:rsidRPr="00866EC9">
        <w:rPr>
          <w:rFonts w:ascii="Arial" w:hAnsi="Arial" w:cs="Arial"/>
        </w:rPr>
        <w:t>4. Przepisy ust. 1–3 stosuje się odpowiednio do użytkowania wieczystego powstałego w inny sposób niż w drodze umowy zawartej w formie aktu notarialnego.</w:t>
      </w:r>
    </w:p>
    <w:p w:rsidR="002239B4" w:rsidRPr="00866EC9" w:rsidRDefault="002239B4" w:rsidP="00866EC9">
      <w:pPr>
        <w:spacing w:after="0" w:line="240" w:lineRule="auto"/>
        <w:jc w:val="both"/>
        <w:rPr>
          <w:rFonts w:ascii="Arial" w:hAnsi="Arial" w:cs="Arial"/>
        </w:rPr>
      </w:pPr>
      <w:r w:rsidRPr="00866EC9">
        <w:rPr>
          <w:rFonts w:ascii="Arial" w:hAnsi="Arial" w:cs="Arial"/>
        </w:rPr>
        <w:t>Art. 198h. 1. W odniesieniu do nieruchomości gruntowych stanowiących własność Skarbu Państwa cenę nieruchomości ustala się:</w:t>
      </w:r>
    </w:p>
    <w:p w:rsidR="002239B4" w:rsidRPr="00866EC9" w:rsidRDefault="002239B4" w:rsidP="00866EC9">
      <w:pPr>
        <w:spacing w:after="0" w:line="240" w:lineRule="auto"/>
        <w:jc w:val="both"/>
        <w:rPr>
          <w:rFonts w:ascii="Arial" w:hAnsi="Arial" w:cs="Arial"/>
        </w:rPr>
      </w:pPr>
      <w:r w:rsidRPr="00866EC9">
        <w:rPr>
          <w:rFonts w:ascii="Arial" w:hAnsi="Arial" w:cs="Arial"/>
        </w:rPr>
        <w:t>1) w przypadku zapłaty ceny jednorazowo – jako dwudziestokrotność kwoty stanowiącej iloczyn dotychczasowej stawki procentowej opłaty rocznej z tytułu użytkowania wieczystego oraz wartości nieruchomości gruntowej określonej na dzień zawarcia umowy sprzedaży;</w:t>
      </w:r>
    </w:p>
    <w:p w:rsidR="00D93403" w:rsidRPr="00866EC9" w:rsidRDefault="002239B4" w:rsidP="00866EC9">
      <w:pPr>
        <w:spacing w:after="0" w:line="240" w:lineRule="auto"/>
        <w:jc w:val="both"/>
        <w:rPr>
          <w:rFonts w:ascii="Arial" w:hAnsi="Arial" w:cs="Arial"/>
        </w:rPr>
      </w:pPr>
      <w:r w:rsidRPr="00866EC9">
        <w:rPr>
          <w:rFonts w:ascii="Arial" w:hAnsi="Arial" w:cs="Arial"/>
        </w:rPr>
        <w:t>2) w przypadku rozłożenia ceny na raty – jako dwudziestopięciokrotność kwoty stanowiącej iloczyn dotychczasowej stawki procentowej opłaty rocznej z tytułu użytkowania wieczystego oraz wartości nieruchomości gruntowej określonej na dzień zawarcia umowy sprzedaży.</w:t>
      </w:r>
    </w:p>
    <w:p w:rsidR="00ED2C8D" w:rsidRPr="00866EC9" w:rsidRDefault="00ED2C8D" w:rsidP="00866EC9">
      <w:pPr>
        <w:spacing w:after="0" w:line="240" w:lineRule="auto"/>
        <w:jc w:val="both"/>
        <w:rPr>
          <w:rFonts w:ascii="Arial" w:hAnsi="Arial" w:cs="Arial"/>
        </w:rPr>
      </w:pPr>
      <w:r w:rsidRPr="00866EC9">
        <w:rPr>
          <w:rFonts w:ascii="Arial" w:hAnsi="Arial" w:cs="Arial"/>
        </w:rPr>
        <w:t>Art. 69. 1. Cenę nieruchomości gruntowej niewykorzystywanej do prowadzenia działalności gospodarczej, sprzedawanej jej użytkownikowi wieczystemu, ustala się jako dwudziestokrotność kwoty stanowiącej iloczyn dotychczasowej stawki procentowej opłaty rocznej z tytułu użytkowania</w:t>
      </w:r>
    </w:p>
    <w:p w:rsidR="00ED2C8D" w:rsidRPr="00866EC9" w:rsidRDefault="00ED2C8D" w:rsidP="00866EC9">
      <w:pPr>
        <w:spacing w:after="0" w:line="240" w:lineRule="auto"/>
        <w:jc w:val="both"/>
        <w:rPr>
          <w:rFonts w:ascii="Arial" w:hAnsi="Arial" w:cs="Arial"/>
        </w:rPr>
      </w:pPr>
      <w:r w:rsidRPr="00866EC9">
        <w:rPr>
          <w:rFonts w:ascii="Arial" w:hAnsi="Arial" w:cs="Arial"/>
        </w:rPr>
        <w:t>wieczystego oraz wartości nieruchomości gruntowej określonej na dzień zawarcia umowy sprzedaży. Przepisy art. 68 i art. 68a stosuje się odpowiednio.</w:t>
      </w:r>
    </w:p>
    <w:p w:rsidR="00ED2C8D" w:rsidRPr="00866EC9" w:rsidRDefault="00ED2C8D" w:rsidP="00866EC9">
      <w:pPr>
        <w:spacing w:after="0" w:line="240" w:lineRule="auto"/>
        <w:jc w:val="both"/>
        <w:rPr>
          <w:rFonts w:ascii="Arial" w:hAnsi="Arial" w:cs="Arial"/>
        </w:rPr>
      </w:pPr>
      <w:r w:rsidRPr="00866EC9">
        <w:rPr>
          <w:rFonts w:ascii="Arial" w:hAnsi="Arial" w:cs="Arial"/>
        </w:rPr>
        <w:t>2. Cenę nieruchomości gruntowej wykorzystywanej do prowadzenia działalności gospodarczej, sprzedawanej jej użytkownikowi wieczystemu, ustala się w wysokości nie niższej niż dwudziestokrotność kwoty stanowiącej iloczyn dotychczasowej stawki procentowej opłaty rocznej z tytułu użytkowania wieczystego oraz wartości nieruchomości gruntowej określonej na dzień zawarcia</w:t>
      </w:r>
    </w:p>
    <w:p w:rsidR="00ED2C8D" w:rsidRPr="00866EC9" w:rsidRDefault="00ED2C8D" w:rsidP="00866EC9">
      <w:pPr>
        <w:spacing w:after="0" w:line="240" w:lineRule="auto"/>
        <w:jc w:val="both"/>
        <w:rPr>
          <w:rFonts w:ascii="Arial" w:hAnsi="Arial" w:cs="Arial"/>
        </w:rPr>
      </w:pPr>
      <w:r w:rsidRPr="00866EC9">
        <w:rPr>
          <w:rFonts w:ascii="Arial" w:hAnsi="Arial" w:cs="Arial"/>
        </w:rPr>
        <w:t>umowy sprzedaży, jednak nie wyższej niż wartość nieruchomości gruntowej określona na dzień zawarcia umowy sprzedaży.</w:t>
      </w:r>
    </w:p>
    <w:p w:rsidR="00ED2C8D" w:rsidRPr="00866EC9" w:rsidRDefault="00ED2C8D" w:rsidP="00866EC9">
      <w:pPr>
        <w:spacing w:after="0" w:line="240" w:lineRule="auto"/>
        <w:jc w:val="both"/>
        <w:rPr>
          <w:rFonts w:ascii="Arial" w:hAnsi="Arial" w:cs="Arial"/>
        </w:rPr>
      </w:pPr>
      <w:r w:rsidRPr="00866EC9">
        <w:rPr>
          <w:rFonts w:ascii="Arial" w:hAnsi="Arial" w:cs="Arial"/>
        </w:rPr>
        <w:t>3. Jeżeli dotychczas nie obowiązywała opłata roczna z tytułu użytkowania wieczystego nieruchomości gruntowej, właściwy organ ustala cenę, o której mowa w ust. 1 i 2, przyjmując stawkę procentową określoną w art. 72 ust. 3 stosownie do celu wynikającego ze sposobu korzystania z nieruchomości</w:t>
      </w:r>
    </w:p>
    <w:p w:rsidR="00ED2C8D" w:rsidRDefault="00432033" w:rsidP="00866EC9">
      <w:pPr>
        <w:spacing w:after="0" w:line="240" w:lineRule="auto"/>
        <w:jc w:val="both"/>
        <w:rPr>
          <w:rFonts w:ascii="Arial" w:hAnsi="Arial" w:cs="Arial"/>
        </w:rPr>
      </w:pPr>
      <w:r w:rsidRPr="00866EC9">
        <w:rPr>
          <w:rFonts w:ascii="Arial" w:hAnsi="Arial" w:cs="Arial"/>
        </w:rPr>
        <w:t>gruntowej.</w:t>
      </w:r>
    </w:p>
    <w:p w:rsidR="00FC4D9B" w:rsidRPr="00866EC9" w:rsidRDefault="00FC4D9B" w:rsidP="00FC4D9B">
      <w:pPr>
        <w:spacing w:after="0" w:line="240" w:lineRule="auto"/>
        <w:jc w:val="both"/>
        <w:rPr>
          <w:rFonts w:ascii="Arial" w:hAnsi="Arial" w:cs="Arial"/>
        </w:rPr>
      </w:pPr>
      <w:r w:rsidRPr="00FC4D9B">
        <w:rPr>
          <w:rFonts w:ascii="Arial" w:hAnsi="Arial" w:cs="Arial"/>
        </w:rPr>
        <w:t>3a. W przypadku nieruchomoś</w:t>
      </w:r>
      <w:r>
        <w:rPr>
          <w:rFonts w:ascii="Arial" w:hAnsi="Arial" w:cs="Arial"/>
        </w:rPr>
        <w:t xml:space="preserve">ci gruntowej wykorzystywanej do </w:t>
      </w:r>
      <w:r w:rsidRPr="00FC4D9B">
        <w:rPr>
          <w:rFonts w:ascii="Arial" w:hAnsi="Arial" w:cs="Arial"/>
        </w:rPr>
        <w:t>prowadzenia działalności gospodarczej,</w:t>
      </w:r>
      <w:r>
        <w:rPr>
          <w:rFonts w:ascii="Arial" w:hAnsi="Arial" w:cs="Arial"/>
        </w:rPr>
        <w:t xml:space="preserve"> sprzedawanej jej użytkownikowi </w:t>
      </w:r>
      <w:r w:rsidRPr="00FC4D9B">
        <w:rPr>
          <w:rFonts w:ascii="Arial" w:hAnsi="Arial" w:cs="Arial"/>
        </w:rPr>
        <w:t>wieczystemu, rozłożona na raty niespłacona część ceny podlega oprocentowaniu</w:t>
      </w:r>
      <w:r>
        <w:rPr>
          <w:rFonts w:ascii="Arial" w:hAnsi="Arial" w:cs="Arial"/>
        </w:rPr>
        <w:t xml:space="preserve"> </w:t>
      </w:r>
      <w:r w:rsidRPr="00FC4D9B">
        <w:rPr>
          <w:rFonts w:ascii="Arial" w:hAnsi="Arial" w:cs="Arial"/>
        </w:rPr>
        <w:t>według stopy referencyjnej ustalonej zgodnie</w:t>
      </w:r>
      <w:r>
        <w:rPr>
          <w:rFonts w:ascii="Arial" w:hAnsi="Arial" w:cs="Arial"/>
        </w:rPr>
        <w:t xml:space="preserve">                       </w:t>
      </w:r>
      <w:r w:rsidRPr="00FC4D9B">
        <w:rPr>
          <w:rFonts w:ascii="Arial" w:hAnsi="Arial" w:cs="Arial"/>
        </w:rPr>
        <w:t xml:space="preserve"> </w:t>
      </w:r>
      <w:r>
        <w:rPr>
          <w:rFonts w:ascii="Arial" w:hAnsi="Arial" w:cs="Arial"/>
        </w:rPr>
        <w:lastRenderedPageBreak/>
        <w:t xml:space="preserve">z komunikatem Komisji w sprawie </w:t>
      </w:r>
      <w:r w:rsidRPr="00FC4D9B">
        <w:rPr>
          <w:rFonts w:ascii="Arial" w:hAnsi="Arial" w:cs="Arial"/>
        </w:rPr>
        <w:t>zmiany metody ustalania stóp referencyjnych</w:t>
      </w:r>
      <w:r>
        <w:rPr>
          <w:rFonts w:ascii="Arial" w:hAnsi="Arial" w:cs="Arial"/>
        </w:rPr>
        <w:t xml:space="preserve">                                 </w:t>
      </w:r>
      <w:r w:rsidRPr="00FC4D9B">
        <w:rPr>
          <w:rFonts w:ascii="Arial" w:hAnsi="Arial" w:cs="Arial"/>
        </w:rPr>
        <w:t xml:space="preserve"> i</w:t>
      </w:r>
      <w:r>
        <w:rPr>
          <w:rFonts w:ascii="Arial" w:hAnsi="Arial" w:cs="Arial"/>
        </w:rPr>
        <w:t xml:space="preserve"> dyskontowych (Dz. Urz. UE C 14 </w:t>
      </w:r>
      <w:r w:rsidRPr="00FC4D9B">
        <w:rPr>
          <w:rFonts w:ascii="Arial" w:hAnsi="Arial" w:cs="Arial"/>
        </w:rPr>
        <w:t>z 19.01.2008, str. 6).</w:t>
      </w:r>
    </w:p>
    <w:p w:rsidR="00ED2C8D" w:rsidRPr="00866EC9" w:rsidRDefault="00ED2C8D" w:rsidP="00866EC9">
      <w:pPr>
        <w:spacing w:after="0" w:line="240" w:lineRule="auto"/>
        <w:jc w:val="both"/>
        <w:rPr>
          <w:rFonts w:ascii="Arial" w:hAnsi="Arial" w:cs="Arial"/>
        </w:rPr>
      </w:pPr>
      <w:r w:rsidRPr="00866EC9">
        <w:rPr>
          <w:rFonts w:ascii="Arial" w:hAnsi="Arial" w:cs="Arial"/>
        </w:rPr>
        <w:t>Art. 69a. 1. W przypadku nieruchomości gruntowej wykorzystywanej do prowadzenia działalności gospodarczej, sprzedawanej jej użytkownikowi wieczystemu, za dzień udzielenia pomocy publicznej uznaje się dzień zawarcia umowy sprzedaży. Wartość pomocy publicznej odpowiada różnicy między wartością nieruchomości gruntowej a ceną tej nieruchomości.</w:t>
      </w:r>
    </w:p>
    <w:p w:rsidR="00ED2C8D" w:rsidRPr="00866EC9" w:rsidRDefault="00ED2C8D" w:rsidP="00866EC9">
      <w:pPr>
        <w:spacing w:after="0" w:line="240" w:lineRule="auto"/>
        <w:jc w:val="both"/>
        <w:rPr>
          <w:rFonts w:ascii="Arial" w:hAnsi="Arial" w:cs="Arial"/>
        </w:rPr>
      </w:pPr>
      <w:r w:rsidRPr="00866EC9">
        <w:rPr>
          <w:rFonts w:ascii="Arial" w:hAnsi="Arial" w:cs="Arial"/>
        </w:rPr>
        <w:t xml:space="preserve">2. W przypadku gdy wartość pomocy publicznej przekracza limit pomocy de </w:t>
      </w:r>
      <w:proofErr w:type="spellStart"/>
      <w:r w:rsidRPr="00866EC9">
        <w:rPr>
          <w:rFonts w:ascii="Arial" w:hAnsi="Arial" w:cs="Arial"/>
        </w:rPr>
        <w:t>minimis</w:t>
      </w:r>
      <w:proofErr w:type="spellEnd"/>
      <w:r w:rsidRPr="00866EC9">
        <w:rPr>
          <w:rFonts w:ascii="Arial" w:hAnsi="Arial" w:cs="Arial"/>
        </w:rPr>
        <w:t>, pomocy udziela się do tego limitu i stosuje się dopłatę do wartości nieruchomości gruntowej przyjętej do ustalenia jej ceny. Wysokość dopłaty jest ustalana w umowie sprzedaży nieruchomości gruntowej.</w:t>
      </w:r>
    </w:p>
    <w:p w:rsidR="00ED2C8D" w:rsidRPr="00866EC9" w:rsidRDefault="00ED2C8D" w:rsidP="00866EC9">
      <w:pPr>
        <w:spacing w:after="0" w:line="240" w:lineRule="auto"/>
        <w:jc w:val="both"/>
        <w:rPr>
          <w:rFonts w:ascii="Arial" w:hAnsi="Arial" w:cs="Arial"/>
        </w:rPr>
      </w:pPr>
      <w:r w:rsidRPr="00866EC9">
        <w:rPr>
          <w:rFonts w:ascii="Arial" w:hAnsi="Arial" w:cs="Arial"/>
        </w:rPr>
        <w:t>3. Dopłata, o której mowa w ust. 2, może zostać uiszczona w:</w:t>
      </w:r>
    </w:p>
    <w:p w:rsidR="00ED2C8D" w:rsidRPr="00866EC9" w:rsidRDefault="00ED2C8D" w:rsidP="00866EC9">
      <w:pPr>
        <w:spacing w:after="0" w:line="240" w:lineRule="auto"/>
        <w:jc w:val="both"/>
        <w:rPr>
          <w:rFonts w:ascii="Arial" w:hAnsi="Arial" w:cs="Arial"/>
        </w:rPr>
      </w:pPr>
      <w:r w:rsidRPr="00866EC9">
        <w:rPr>
          <w:rFonts w:ascii="Arial" w:hAnsi="Arial" w:cs="Arial"/>
        </w:rPr>
        <w:t>1) pełnej wysokości w terminie 14 dni od dnia nabycia nieruchomości gruntowej;</w:t>
      </w:r>
    </w:p>
    <w:p w:rsidR="00ED2C8D" w:rsidRPr="00866EC9" w:rsidRDefault="00ED2C8D" w:rsidP="00866EC9">
      <w:pPr>
        <w:spacing w:after="0" w:line="240" w:lineRule="auto"/>
        <w:jc w:val="both"/>
        <w:rPr>
          <w:rFonts w:ascii="Arial" w:hAnsi="Arial" w:cs="Arial"/>
        </w:rPr>
      </w:pPr>
      <w:r w:rsidRPr="00866EC9">
        <w:rPr>
          <w:rFonts w:ascii="Arial" w:hAnsi="Arial" w:cs="Arial"/>
        </w:rPr>
        <w:t>2) ratach rocznych płatnych przez okres nie dłuższy niż 20 lat, wnoszonych od roku następującego po roku nabycia nieruchomości gruntowej;</w:t>
      </w:r>
    </w:p>
    <w:p w:rsidR="00ED2C8D" w:rsidRPr="00866EC9" w:rsidRDefault="00ED2C8D" w:rsidP="00866EC9">
      <w:pPr>
        <w:spacing w:after="0" w:line="240" w:lineRule="auto"/>
        <w:jc w:val="both"/>
        <w:rPr>
          <w:rFonts w:ascii="Arial" w:hAnsi="Arial" w:cs="Arial"/>
        </w:rPr>
      </w:pPr>
      <w:r w:rsidRPr="00866EC9">
        <w:rPr>
          <w:rFonts w:ascii="Arial" w:hAnsi="Arial" w:cs="Arial"/>
        </w:rPr>
        <w:t>3) kwocie pozostałej do spłaty w przypadku, o którym mowa w pkt 2, na wniosek nabywcy nieruchomości, złożony w każdym czasie trwania okresu, na jaki dopłata została rozłożona na raty.</w:t>
      </w:r>
    </w:p>
    <w:p w:rsidR="00ED2C8D" w:rsidRPr="00275E4B" w:rsidRDefault="00ED2C8D" w:rsidP="00866EC9">
      <w:pPr>
        <w:spacing w:after="0" w:line="240" w:lineRule="auto"/>
        <w:jc w:val="both"/>
      </w:pPr>
      <w:r w:rsidRPr="00866EC9">
        <w:rPr>
          <w:rFonts w:ascii="Arial" w:hAnsi="Arial" w:cs="Arial"/>
        </w:rPr>
        <w:t>4. Do dopłaty wnoszonej w formie rat przepis art. 70 ust. 3a stosuje się</w:t>
      </w:r>
      <w:r w:rsidR="00432033" w:rsidRPr="00866EC9">
        <w:rPr>
          <w:rFonts w:ascii="Arial" w:hAnsi="Arial" w:cs="Arial"/>
        </w:rPr>
        <w:t xml:space="preserve"> odpowiednio.</w:t>
      </w:r>
    </w:p>
    <w:sectPr w:rsidR="00ED2C8D" w:rsidRPr="00275E4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20002A87" w:usb1="00000000" w:usb2="00000000"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E97270"/>
    <w:multiLevelType w:val="hybridMultilevel"/>
    <w:tmpl w:val="E8721F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7B5B25A8"/>
    <w:multiLevelType w:val="hybridMultilevel"/>
    <w:tmpl w:val="F376AB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1DBE"/>
    <w:rsid w:val="001C45B1"/>
    <w:rsid w:val="002239B4"/>
    <w:rsid w:val="00275E4B"/>
    <w:rsid w:val="00401DBE"/>
    <w:rsid w:val="00432033"/>
    <w:rsid w:val="00675A97"/>
    <w:rsid w:val="00795A43"/>
    <w:rsid w:val="00866EC9"/>
    <w:rsid w:val="008B4DA7"/>
    <w:rsid w:val="00D93403"/>
    <w:rsid w:val="00ED2C8D"/>
    <w:rsid w:val="00FC4D9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D2C8D"/>
    <w:pPr>
      <w:ind w:left="720"/>
      <w:contextualSpacing/>
    </w:pPr>
  </w:style>
  <w:style w:type="paragraph" w:styleId="Tekstdymka">
    <w:name w:val="Balloon Text"/>
    <w:basedOn w:val="Normalny"/>
    <w:link w:val="TekstdymkaZnak"/>
    <w:uiPriority w:val="99"/>
    <w:semiHidden/>
    <w:unhideWhenUsed/>
    <w:rsid w:val="00795A4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95A4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D2C8D"/>
    <w:pPr>
      <w:ind w:left="720"/>
      <w:contextualSpacing/>
    </w:pPr>
  </w:style>
  <w:style w:type="paragraph" w:styleId="Tekstdymka">
    <w:name w:val="Balloon Text"/>
    <w:basedOn w:val="Normalny"/>
    <w:link w:val="TekstdymkaZnak"/>
    <w:uiPriority w:val="99"/>
    <w:semiHidden/>
    <w:unhideWhenUsed/>
    <w:rsid w:val="00795A4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95A4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1</Pages>
  <Words>991</Words>
  <Characters>5949</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 Korczyńska</dc:creator>
  <cp:keywords/>
  <dc:description/>
  <cp:lastModifiedBy>Ewa Korczyńska</cp:lastModifiedBy>
  <cp:revision>7</cp:revision>
  <cp:lastPrinted>2023-08-30T12:15:00Z</cp:lastPrinted>
  <dcterms:created xsi:type="dcterms:W3CDTF">2023-08-30T11:01:00Z</dcterms:created>
  <dcterms:modified xsi:type="dcterms:W3CDTF">2023-08-30T12:42:00Z</dcterms:modified>
</cp:coreProperties>
</file>