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24" w:rsidRDefault="006A4F24">
      <w:pPr>
        <w:pStyle w:val="Heading3"/>
        <w:keepNext w:val="0"/>
        <w:spacing w:before="240"/>
        <w:jc w:val="center"/>
        <w:rPr>
          <w:color w:val="000000"/>
        </w:rPr>
      </w:pPr>
      <w:r>
        <w:rPr>
          <w:color w:val="000000"/>
        </w:rPr>
        <w:t>Uchwała Nr IX/68/11</w:t>
      </w:r>
    </w:p>
    <w:p w:rsidR="006A4F24" w:rsidRDefault="006A4F24">
      <w:pPr>
        <w:spacing w:before="120"/>
        <w:jc w:val="center"/>
        <w:rPr>
          <w:rFonts w:cs="Times New Roman"/>
          <w:b/>
          <w:bCs/>
          <w:color w:val="000000"/>
          <w:sz w:val="32"/>
          <w:szCs w:val="32"/>
        </w:rPr>
      </w:pPr>
      <w:r>
        <w:rPr>
          <w:rFonts w:cs="Times New Roman"/>
          <w:b/>
          <w:bCs/>
          <w:color w:val="000000"/>
          <w:sz w:val="32"/>
          <w:szCs w:val="32"/>
        </w:rPr>
        <w:t>Rady Powiatu Gryfickiego</w:t>
      </w:r>
    </w:p>
    <w:p w:rsidR="006A4F24" w:rsidRDefault="006A4F24">
      <w:pPr>
        <w:spacing w:before="120"/>
        <w:jc w:val="center"/>
        <w:rPr>
          <w:rFonts w:cs="Times New Roman"/>
          <w:b/>
          <w:bCs/>
          <w:color w:val="000000"/>
          <w:sz w:val="32"/>
          <w:szCs w:val="32"/>
        </w:rPr>
      </w:pPr>
      <w:r>
        <w:rPr>
          <w:rFonts w:cs="Times New Roman"/>
          <w:b/>
          <w:bCs/>
          <w:color w:val="000000"/>
          <w:sz w:val="32"/>
          <w:szCs w:val="32"/>
        </w:rPr>
        <w:t>z dnia 15 lipca  2011 roku</w:t>
      </w:r>
    </w:p>
    <w:p w:rsidR="006A4F24" w:rsidRDefault="006A4F24">
      <w:pPr>
        <w:spacing w:before="120"/>
        <w:jc w:val="both"/>
        <w:rPr>
          <w:rFonts w:cs="Times New Roman"/>
          <w:b/>
          <w:bCs/>
          <w:color w:val="000000"/>
          <w:sz w:val="28"/>
          <w:szCs w:val="28"/>
        </w:rPr>
      </w:pPr>
      <w:r>
        <w:rPr>
          <w:rFonts w:cs="Times New Roman"/>
          <w:b/>
          <w:bCs/>
          <w:color w:val="000000"/>
          <w:sz w:val="28"/>
          <w:szCs w:val="28"/>
        </w:rPr>
        <w:t xml:space="preserve">w sprawie zmiany Uchwały Nr III/23/10  Rady Powiatu Gryfickiego oraz zmian w wieloletniej prognozie finansowej Powiatu Gryfickiego na lata 2011-2021. </w:t>
      </w:r>
    </w:p>
    <w:p w:rsidR="006A4F24" w:rsidRDefault="006A4F24">
      <w:pPr>
        <w:pStyle w:val="BodyText2"/>
        <w:spacing w:before="360" w:line="240" w:lineRule="auto"/>
        <w:ind w:firstLine="709"/>
        <w:rPr>
          <w:color w:val="000000"/>
          <w:sz w:val="28"/>
          <w:szCs w:val="28"/>
        </w:rPr>
      </w:pPr>
      <w:r>
        <w:rPr>
          <w:color w:val="000000"/>
          <w:sz w:val="28"/>
          <w:szCs w:val="28"/>
        </w:rPr>
        <w:t>Na podstawie art.226, art.227, art.228 art. 230 ust. 6  i art.243 ustawy z dnia 27 sierpnia 2009 r. o finansach publicznych (Dz. U. Nr 157, poz. 1240 oraz z 2010 r. Nr 28, poz. 146, Nr 96, poz. 620,  Nr 123, poz. 835, Nr 152, poz. 1020, Nr 238, poz. 1578, Nr 257, poz. 1726,) Rada Powiatu uchwala, co następuje:</w:t>
      </w:r>
    </w:p>
    <w:p w:rsidR="006A4F24" w:rsidRDefault="006A4F24">
      <w:pPr>
        <w:pStyle w:val="BodyText2"/>
        <w:spacing w:before="360" w:line="240" w:lineRule="auto"/>
        <w:ind w:firstLine="709"/>
        <w:jc w:val="center"/>
        <w:rPr>
          <w:b/>
          <w:bCs/>
          <w:color w:val="000000"/>
          <w:sz w:val="28"/>
          <w:szCs w:val="28"/>
        </w:rPr>
      </w:pPr>
      <w:r>
        <w:rPr>
          <w:b/>
          <w:bCs/>
          <w:color w:val="000000"/>
          <w:sz w:val="28"/>
          <w:szCs w:val="28"/>
        </w:rPr>
        <w:t>§ 1</w:t>
      </w:r>
    </w:p>
    <w:p w:rsidR="006A4F24" w:rsidRDefault="006A4F24">
      <w:pPr>
        <w:pStyle w:val="BodyText2"/>
        <w:spacing w:before="360" w:line="240" w:lineRule="auto"/>
        <w:ind w:firstLine="709"/>
        <w:rPr>
          <w:color w:val="000000"/>
          <w:sz w:val="28"/>
          <w:szCs w:val="28"/>
        </w:rPr>
      </w:pPr>
      <w:r>
        <w:rPr>
          <w:color w:val="000000"/>
          <w:sz w:val="28"/>
          <w:szCs w:val="28"/>
        </w:rPr>
        <w:t>W uchwale Nr III/23/10 Rady Powiatu Gryfickiego w sprawie uchwalenia wieloletniej prognozy finansowej Powiatu Gryfickiego na lata 2011-2021,zmienioną Uchwałą Nr IV/28/11Rady Powiatu Gryfickiego z dnia 26 stycznia 2011r., zmienioną Uchwałą Nr V/40/11Rady Powiatu Gryfickiego z dnia 28 lutego 2011r., zmienioną Uchwałą Nr VI/48/11Rady Powiatu Gryfickiego z dnia 30 marca 2011r., zmienioną Uchwałą Nr VII/55/11Rady Powiatu Gryfickiego z dnia 27 maja 2011r., zmienioną Uchwałą Nr VIII/63/11Rady Powiatu Gryfickiego z dnia 21 czerwca 2011r.,  wprowadza się następujące zmiany:</w:t>
      </w:r>
    </w:p>
    <w:p w:rsidR="006A4F24" w:rsidRDefault="006A4F24">
      <w:pPr>
        <w:pStyle w:val="BodyText2"/>
        <w:numPr>
          <w:ilvl w:val="0"/>
          <w:numId w:val="32"/>
        </w:numPr>
        <w:spacing w:before="360" w:line="240" w:lineRule="auto"/>
        <w:rPr>
          <w:color w:val="000000"/>
          <w:sz w:val="28"/>
          <w:szCs w:val="28"/>
        </w:rPr>
      </w:pPr>
      <w:r>
        <w:rPr>
          <w:color w:val="000000"/>
          <w:sz w:val="28"/>
          <w:szCs w:val="28"/>
        </w:rPr>
        <w:t>Załącznik Nr 1 „Wieloletnia Prognoza Finansowa Powiatu Gryfickiego na lata 2011-2021 „ otrzymuje brzmienie  jak załącznik Nr 1.</w:t>
      </w:r>
    </w:p>
    <w:p w:rsidR="006A4F24" w:rsidRDefault="006A4F24">
      <w:pPr>
        <w:pStyle w:val="BodyText2"/>
        <w:numPr>
          <w:ilvl w:val="0"/>
          <w:numId w:val="32"/>
        </w:numPr>
        <w:spacing w:before="360" w:line="240" w:lineRule="auto"/>
        <w:rPr>
          <w:color w:val="000000"/>
          <w:sz w:val="28"/>
          <w:szCs w:val="28"/>
        </w:rPr>
      </w:pPr>
      <w:r>
        <w:rPr>
          <w:color w:val="000000"/>
          <w:sz w:val="28"/>
          <w:szCs w:val="28"/>
        </w:rPr>
        <w:t>Załącznik Nr 3”Planowane i realizowane przedsięwzięcia Powiatu  Gryfickiego  w latach 2011-2021”otrzymuje brzmienie jak załącznik Nr 2.</w:t>
      </w:r>
    </w:p>
    <w:p w:rsidR="006A4F24" w:rsidRDefault="006A4F24">
      <w:pPr>
        <w:keepNext/>
        <w:tabs>
          <w:tab w:val="right" w:pos="7655"/>
          <w:tab w:val="right" w:pos="9498"/>
        </w:tabs>
        <w:spacing w:before="240"/>
        <w:jc w:val="center"/>
        <w:rPr>
          <w:rFonts w:cs="Times New Roman"/>
          <w:b/>
          <w:bCs/>
          <w:color w:val="000000"/>
          <w:sz w:val="28"/>
          <w:szCs w:val="28"/>
        </w:rPr>
      </w:pPr>
      <w:r>
        <w:rPr>
          <w:rFonts w:cs="Times New Roman"/>
          <w:b/>
          <w:bCs/>
          <w:color w:val="000000"/>
          <w:sz w:val="28"/>
          <w:szCs w:val="28"/>
        </w:rPr>
        <w:t>§ 2</w:t>
      </w:r>
    </w:p>
    <w:p w:rsidR="006A4F24" w:rsidRDefault="006A4F24">
      <w:pPr>
        <w:keepNext/>
        <w:tabs>
          <w:tab w:val="right" w:pos="7655"/>
          <w:tab w:val="right" w:pos="9498"/>
        </w:tabs>
        <w:spacing w:before="240"/>
        <w:rPr>
          <w:rFonts w:cs="Times New Roman"/>
          <w:color w:val="000000"/>
          <w:sz w:val="28"/>
          <w:szCs w:val="28"/>
        </w:rPr>
      </w:pPr>
      <w:r>
        <w:rPr>
          <w:rFonts w:cs="Times New Roman"/>
          <w:color w:val="000000"/>
          <w:sz w:val="28"/>
          <w:szCs w:val="28"/>
        </w:rPr>
        <w:t>Wykonanie uchwały powierza się Zarządowi Powiatu.</w:t>
      </w:r>
    </w:p>
    <w:p w:rsidR="006A4F24" w:rsidRDefault="006A4F24">
      <w:pPr>
        <w:keepNext/>
        <w:tabs>
          <w:tab w:val="right" w:pos="7655"/>
          <w:tab w:val="right" w:pos="9498"/>
        </w:tabs>
        <w:spacing w:before="240"/>
        <w:jc w:val="center"/>
        <w:rPr>
          <w:rFonts w:cs="Times New Roman"/>
          <w:b/>
          <w:bCs/>
          <w:color w:val="000000"/>
          <w:sz w:val="28"/>
          <w:szCs w:val="28"/>
        </w:rPr>
      </w:pPr>
    </w:p>
    <w:p w:rsidR="006A4F24" w:rsidRDefault="006A4F24">
      <w:pPr>
        <w:keepNext/>
        <w:tabs>
          <w:tab w:val="right" w:pos="7655"/>
          <w:tab w:val="right" w:pos="9498"/>
        </w:tabs>
        <w:spacing w:before="240"/>
        <w:jc w:val="center"/>
        <w:rPr>
          <w:rFonts w:cs="Times New Roman"/>
          <w:b/>
          <w:bCs/>
          <w:color w:val="000000"/>
          <w:sz w:val="28"/>
          <w:szCs w:val="28"/>
        </w:rPr>
      </w:pPr>
      <w:r>
        <w:rPr>
          <w:rFonts w:cs="Times New Roman"/>
          <w:b/>
          <w:bCs/>
          <w:color w:val="000000"/>
          <w:sz w:val="28"/>
          <w:szCs w:val="28"/>
        </w:rPr>
        <w:t>§ 3</w:t>
      </w:r>
    </w:p>
    <w:p w:rsidR="006A4F24" w:rsidRDefault="006A4F24">
      <w:pPr>
        <w:keepNext/>
        <w:tabs>
          <w:tab w:val="right" w:pos="7655"/>
          <w:tab w:val="right" w:pos="9498"/>
        </w:tabs>
        <w:spacing w:before="240"/>
        <w:rPr>
          <w:rFonts w:cs="Times New Roman"/>
          <w:color w:val="000000"/>
          <w:sz w:val="28"/>
          <w:szCs w:val="28"/>
        </w:rPr>
      </w:pPr>
      <w:r>
        <w:rPr>
          <w:rFonts w:cs="Times New Roman"/>
          <w:color w:val="000000"/>
          <w:sz w:val="28"/>
          <w:szCs w:val="28"/>
        </w:rPr>
        <w:t xml:space="preserve"> Uchwała wchodzi w życie z  dniem podjęcia</w:t>
      </w:r>
    </w:p>
    <w:p w:rsidR="006A4F24" w:rsidRDefault="006A4F24">
      <w:pPr>
        <w:keepNext/>
        <w:tabs>
          <w:tab w:val="right" w:pos="7655"/>
          <w:tab w:val="right" w:pos="9498"/>
        </w:tabs>
        <w:spacing w:before="240"/>
        <w:rPr>
          <w:rFonts w:cs="Times New Roman"/>
          <w:color w:val="000000"/>
          <w:sz w:val="28"/>
          <w:szCs w:val="28"/>
        </w:rPr>
      </w:pPr>
    </w:p>
    <w:p w:rsidR="006A4F24" w:rsidRDefault="006A4F24">
      <w:pPr>
        <w:keepNext/>
        <w:tabs>
          <w:tab w:val="right" w:pos="7655"/>
          <w:tab w:val="right" w:pos="9498"/>
        </w:tabs>
        <w:spacing w:before="240"/>
        <w:rPr>
          <w:rFonts w:cs="Times New Roman"/>
          <w:color w:val="000000"/>
          <w:sz w:val="28"/>
          <w:szCs w:val="28"/>
        </w:rPr>
      </w:pPr>
    </w:p>
    <w:p w:rsidR="006A4F24" w:rsidRDefault="006A4F24">
      <w:pPr>
        <w:ind w:left="4254"/>
        <w:jc w:val="center"/>
        <w:rPr>
          <w:rFonts w:cs="Times New Roman"/>
          <w:color w:val="000000"/>
          <w:sz w:val="28"/>
          <w:szCs w:val="28"/>
        </w:rPr>
      </w:pPr>
      <w:r>
        <w:rPr>
          <w:rFonts w:cs="Times New Roman"/>
          <w:color w:val="000000"/>
          <w:sz w:val="28"/>
          <w:szCs w:val="28"/>
        </w:rPr>
        <w:t>Przewodnicząca Rady Powiatu</w:t>
      </w:r>
    </w:p>
    <w:p w:rsidR="006A4F24" w:rsidRDefault="006A4F24">
      <w:pPr>
        <w:ind w:left="4254"/>
        <w:jc w:val="center"/>
        <w:rPr>
          <w:rFonts w:cs="Times New Roman"/>
          <w:color w:val="000000"/>
          <w:sz w:val="28"/>
          <w:szCs w:val="28"/>
        </w:rPr>
      </w:pPr>
    </w:p>
    <w:p w:rsidR="006A4F24" w:rsidRDefault="006A4F24">
      <w:pPr>
        <w:ind w:left="2836" w:firstLine="709"/>
        <w:jc w:val="center"/>
        <w:rPr>
          <w:rFonts w:cs="Times New Roman"/>
          <w:color w:val="000000"/>
          <w:sz w:val="28"/>
          <w:szCs w:val="28"/>
        </w:rPr>
      </w:pPr>
      <w:r>
        <w:rPr>
          <w:rFonts w:cs="Times New Roman"/>
          <w:color w:val="000000"/>
          <w:sz w:val="28"/>
          <w:szCs w:val="28"/>
        </w:rPr>
        <w:t xml:space="preserve">          Renata Teresa Korek</w:t>
      </w:r>
    </w:p>
    <w:p w:rsidR="006A4F24" w:rsidRDefault="006A4F24">
      <w:pPr>
        <w:jc w:val="center"/>
        <w:rPr>
          <w:rFonts w:cs="Times New Roman"/>
          <w:b/>
          <w:bCs/>
          <w:sz w:val="28"/>
          <w:szCs w:val="28"/>
        </w:rPr>
      </w:pPr>
      <w:r>
        <w:rPr>
          <w:rFonts w:cs="Times New Roman"/>
          <w:b/>
          <w:bCs/>
          <w:sz w:val="28"/>
          <w:szCs w:val="28"/>
        </w:rPr>
        <w:t>UZASADNIENIE</w:t>
      </w:r>
    </w:p>
    <w:p w:rsidR="006A4F24" w:rsidRDefault="006A4F24">
      <w:pPr>
        <w:jc w:val="center"/>
        <w:rPr>
          <w:rFonts w:cs="Times New Roman"/>
          <w:b/>
          <w:bCs/>
          <w:sz w:val="28"/>
          <w:szCs w:val="28"/>
        </w:rPr>
      </w:pPr>
      <w:r>
        <w:rPr>
          <w:rFonts w:cs="Times New Roman"/>
          <w:b/>
          <w:bCs/>
          <w:sz w:val="28"/>
          <w:szCs w:val="28"/>
        </w:rPr>
        <w:t>DO UCHWAŁY NR IX/68/11</w:t>
      </w:r>
    </w:p>
    <w:p w:rsidR="006A4F24" w:rsidRDefault="006A4F24">
      <w:pPr>
        <w:jc w:val="center"/>
        <w:rPr>
          <w:rFonts w:cs="Times New Roman"/>
          <w:b/>
          <w:bCs/>
          <w:sz w:val="28"/>
          <w:szCs w:val="28"/>
        </w:rPr>
      </w:pPr>
      <w:r>
        <w:rPr>
          <w:rFonts w:cs="Times New Roman"/>
          <w:b/>
          <w:bCs/>
          <w:sz w:val="28"/>
          <w:szCs w:val="28"/>
        </w:rPr>
        <w:t>RADY POWIATU</w:t>
      </w:r>
    </w:p>
    <w:p w:rsidR="006A4F24" w:rsidRDefault="006A4F24">
      <w:pPr>
        <w:jc w:val="center"/>
        <w:rPr>
          <w:rFonts w:cs="Times New Roman"/>
          <w:b/>
          <w:bCs/>
          <w:sz w:val="28"/>
          <w:szCs w:val="28"/>
        </w:rPr>
      </w:pPr>
      <w:r>
        <w:rPr>
          <w:rFonts w:cs="Times New Roman"/>
          <w:b/>
          <w:bCs/>
          <w:sz w:val="28"/>
          <w:szCs w:val="28"/>
        </w:rPr>
        <w:t>GRYFICKIEGO</w:t>
      </w:r>
    </w:p>
    <w:p w:rsidR="006A4F24" w:rsidRDefault="006A4F24">
      <w:pPr>
        <w:jc w:val="center"/>
        <w:rPr>
          <w:rFonts w:cs="Times New Roman"/>
          <w:b/>
          <w:bCs/>
          <w:sz w:val="28"/>
          <w:szCs w:val="28"/>
        </w:rPr>
      </w:pPr>
      <w:r>
        <w:rPr>
          <w:rFonts w:cs="Times New Roman"/>
          <w:b/>
          <w:bCs/>
          <w:sz w:val="28"/>
          <w:szCs w:val="28"/>
        </w:rPr>
        <w:t>z dnia 15 lipca 2011 roku</w:t>
      </w:r>
    </w:p>
    <w:p w:rsidR="006A4F24" w:rsidRDefault="006A4F24">
      <w:pPr>
        <w:rPr>
          <w:rFonts w:cs="Times New Roman"/>
          <w:b/>
          <w:bCs/>
          <w:sz w:val="28"/>
          <w:szCs w:val="28"/>
        </w:rPr>
      </w:pPr>
    </w:p>
    <w:p w:rsidR="006A4F24" w:rsidRDefault="006A4F24">
      <w:pPr>
        <w:rPr>
          <w:rFonts w:cs="Times New Roman"/>
        </w:rPr>
      </w:pPr>
    </w:p>
    <w:p w:rsidR="006A4F24" w:rsidRDefault="006A4F24">
      <w:pPr>
        <w:rPr>
          <w:rFonts w:cs="Times New Roman"/>
        </w:rPr>
      </w:pPr>
      <w:r>
        <w:rPr>
          <w:rFonts w:cs="Times New Roman"/>
        </w:rPr>
        <w:t>Niniejszą uchwałą wprowadza się zmiany w Wieloletniej Prognozie Finansowej Powiatu Gryfickiego na lata 2011-2021:</w:t>
      </w:r>
    </w:p>
    <w:p w:rsidR="006A4F24" w:rsidRDefault="006A4F24">
      <w:pPr>
        <w:rPr>
          <w:rFonts w:cs="Times New Roman"/>
        </w:rPr>
      </w:pPr>
    </w:p>
    <w:p w:rsidR="006A4F24" w:rsidRDefault="006A4F24">
      <w:pPr>
        <w:rPr>
          <w:rFonts w:cs="Times New Roman"/>
          <w:b/>
          <w:bCs/>
        </w:rPr>
      </w:pPr>
      <w:r>
        <w:rPr>
          <w:rFonts w:cs="Times New Roman"/>
          <w:b/>
          <w:bCs/>
        </w:rPr>
        <w:t>Załącznik nr 1:</w:t>
      </w:r>
    </w:p>
    <w:p w:rsidR="006A4F24" w:rsidRDefault="006A4F24">
      <w:pPr>
        <w:rPr>
          <w:rFonts w:cs="Times New Roman"/>
          <w:b/>
          <w:bCs/>
        </w:rPr>
      </w:pPr>
    </w:p>
    <w:p w:rsidR="006A4F24" w:rsidRDefault="006A4F24">
      <w:pPr>
        <w:rPr>
          <w:rFonts w:cs="Times New Roman"/>
          <w:b/>
          <w:bCs/>
          <w:sz w:val="28"/>
          <w:szCs w:val="28"/>
        </w:rPr>
      </w:pPr>
      <w:r>
        <w:rPr>
          <w:rFonts w:cs="Times New Roman"/>
          <w:b/>
          <w:bCs/>
        </w:rPr>
        <w:t xml:space="preserve"> </w:t>
      </w:r>
      <w:r>
        <w:rPr>
          <w:rFonts w:cs="Times New Roman"/>
          <w:b/>
          <w:bCs/>
          <w:sz w:val="28"/>
          <w:szCs w:val="28"/>
        </w:rPr>
        <w:t>zwiększenia  i zmniejszenia dotyczące roku 2011</w:t>
      </w:r>
    </w:p>
    <w:p w:rsidR="006A4F24" w:rsidRDefault="006A4F24">
      <w:pPr>
        <w:rPr>
          <w:rFonts w:cs="Times New Roman"/>
        </w:rPr>
      </w:pPr>
    </w:p>
    <w:p w:rsidR="006A4F24" w:rsidRDefault="006A4F24">
      <w:pPr>
        <w:ind w:firstLine="708"/>
        <w:rPr>
          <w:rFonts w:cs="Times New Roman"/>
        </w:rPr>
      </w:pPr>
      <w:r>
        <w:rPr>
          <w:rFonts w:cs="Times New Roman"/>
        </w:rPr>
        <w:t xml:space="preserve">1. Zmniejsza się prognozę </w:t>
      </w:r>
      <w:r>
        <w:rPr>
          <w:rFonts w:cs="Times New Roman"/>
          <w:b/>
          <w:bCs/>
        </w:rPr>
        <w:t>dochodów</w:t>
      </w:r>
      <w:r>
        <w:rPr>
          <w:rFonts w:cs="Times New Roman"/>
        </w:rPr>
        <w:t xml:space="preserve"> na 2011 rok, o kwotę 204.499,00 </w:t>
      </w:r>
      <w:r>
        <w:rPr>
          <w:rFonts w:cs="Times New Roman"/>
          <w:b/>
          <w:bCs/>
          <w:i/>
          <w:iCs/>
        </w:rPr>
        <w:t>zł</w:t>
      </w:r>
      <w:r>
        <w:rPr>
          <w:rFonts w:cs="Times New Roman"/>
        </w:rPr>
        <w:t>, z tego:</w:t>
      </w:r>
    </w:p>
    <w:p w:rsidR="006A4F24" w:rsidRDefault="006A4F24">
      <w:pPr>
        <w:ind w:left="360"/>
        <w:rPr>
          <w:rFonts w:cs="Times New Roman"/>
        </w:rPr>
      </w:pPr>
      <w:r>
        <w:rPr>
          <w:rFonts w:cs="Times New Roman"/>
        </w:rPr>
        <w:t>- pozycja 1.a, dochody bieżące zwiększenie  na kwotę 39.709,00 zł.</w:t>
      </w:r>
    </w:p>
    <w:p w:rsidR="006A4F24" w:rsidRDefault="006A4F24">
      <w:pPr>
        <w:ind w:left="360"/>
        <w:rPr>
          <w:rFonts w:cs="Times New Roman"/>
        </w:rPr>
      </w:pPr>
      <w:r>
        <w:rPr>
          <w:rFonts w:cs="Times New Roman"/>
        </w:rPr>
        <w:t>- pozycja 1.b, dochody majątkowe zmniejszenie o kwotę 244.208,00 zł.</w:t>
      </w:r>
    </w:p>
    <w:p w:rsidR="006A4F24" w:rsidRDefault="006A4F24">
      <w:pPr>
        <w:ind w:left="360"/>
        <w:rPr>
          <w:rFonts w:cs="Times New Roman"/>
        </w:rPr>
      </w:pPr>
    </w:p>
    <w:p w:rsidR="006A4F24" w:rsidRDefault="006A4F24">
      <w:pPr>
        <w:ind w:left="360"/>
        <w:rPr>
          <w:rFonts w:cs="Times New Roman"/>
          <w:i/>
          <w:iCs/>
        </w:rPr>
      </w:pPr>
      <w:r>
        <w:rPr>
          <w:rFonts w:cs="Times New Roman"/>
        </w:rPr>
        <w:tab/>
        <w:t xml:space="preserve">2. Zwiększa się   prognozę </w:t>
      </w:r>
      <w:r>
        <w:rPr>
          <w:rFonts w:cs="Times New Roman"/>
          <w:b/>
          <w:bCs/>
        </w:rPr>
        <w:t xml:space="preserve">wydatków bieżących  poz.2 (bez odsetek i prowizji od: kredytów i pożyczek oraz wyemitowanych papierów wartościowych) </w:t>
      </w:r>
      <w:r>
        <w:rPr>
          <w:rFonts w:cs="Times New Roman"/>
        </w:rPr>
        <w:t>na 2011 rok, o łączną kwotę 182.569,43</w:t>
      </w:r>
      <w:r>
        <w:rPr>
          <w:rFonts w:cs="Times New Roman"/>
          <w:i/>
          <w:iCs/>
        </w:rPr>
        <w:t xml:space="preserve"> zł.</w:t>
      </w:r>
    </w:p>
    <w:p w:rsidR="006A4F24" w:rsidRDefault="006A4F24">
      <w:pPr>
        <w:ind w:left="360"/>
        <w:rPr>
          <w:rFonts w:cs="Times New Roman"/>
        </w:rPr>
      </w:pPr>
      <w:r>
        <w:rPr>
          <w:rFonts w:cs="Times New Roman"/>
        </w:rPr>
        <w:t xml:space="preserve">        W tym: poz.2a- wynagrodzenia i składki od nich naliczane o kwotę 19.000,00 zł</w:t>
      </w:r>
    </w:p>
    <w:p w:rsidR="006A4F24" w:rsidRDefault="006A4F24">
      <w:pPr>
        <w:ind w:left="360"/>
        <w:rPr>
          <w:rFonts w:cs="Times New Roman"/>
          <w:i/>
          <w:iCs/>
        </w:rPr>
      </w:pPr>
    </w:p>
    <w:p w:rsidR="006A4F24" w:rsidRDefault="006A4F24">
      <w:pPr>
        <w:ind w:left="360"/>
        <w:rPr>
          <w:rFonts w:cs="Times New Roman"/>
          <w:b/>
          <w:bCs/>
        </w:rPr>
      </w:pPr>
      <w:r>
        <w:rPr>
          <w:rFonts w:cs="Times New Roman"/>
        </w:rPr>
        <w:tab/>
        <w:t xml:space="preserve">3. Zwiększa się pozycję 4 </w:t>
      </w:r>
      <w:r>
        <w:rPr>
          <w:rFonts w:cs="Times New Roman"/>
          <w:b/>
          <w:bCs/>
        </w:rPr>
        <w:t xml:space="preserve">nadwyżka budżetowa z lat ubiegłych plus wolne środki, zgodnie z art.217 ufp </w:t>
      </w:r>
      <w:r>
        <w:rPr>
          <w:rFonts w:cs="Times New Roman"/>
        </w:rPr>
        <w:t>na 2011 rok, o kwotę 142.860,43 zł.</w:t>
      </w:r>
      <w:r>
        <w:rPr>
          <w:rFonts w:cs="Times New Roman"/>
          <w:b/>
          <w:bCs/>
        </w:rPr>
        <w:t xml:space="preserve"> </w:t>
      </w:r>
    </w:p>
    <w:p w:rsidR="006A4F24" w:rsidRDefault="006A4F24">
      <w:pPr>
        <w:ind w:left="360"/>
        <w:rPr>
          <w:rFonts w:cs="Times New Roman"/>
        </w:rPr>
      </w:pPr>
    </w:p>
    <w:p w:rsidR="006A4F24" w:rsidRDefault="006A4F24">
      <w:pPr>
        <w:ind w:left="360"/>
        <w:rPr>
          <w:rFonts w:cs="Times New Roman"/>
        </w:rPr>
      </w:pPr>
    </w:p>
    <w:p w:rsidR="006A4F24" w:rsidRDefault="006A4F24">
      <w:pPr>
        <w:ind w:left="360"/>
        <w:rPr>
          <w:rFonts w:cs="Times New Roman"/>
        </w:rPr>
      </w:pPr>
      <w:r>
        <w:rPr>
          <w:rFonts w:cs="Times New Roman"/>
        </w:rPr>
        <w:tab/>
        <w:t>4. Zmniejsza się o kwotę w poz.10 –wydatki majątkowe ogółem o kwotę 244.208,00 zł, w tym: w poz 10a zmniejsza się plan wydatków majątkowych o kwotę 61.588,00</w:t>
      </w:r>
    </w:p>
    <w:p w:rsidR="006A4F24" w:rsidRDefault="006A4F24">
      <w:pPr>
        <w:ind w:left="360"/>
        <w:rPr>
          <w:rFonts w:cs="Times New Roman"/>
        </w:rPr>
      </w:pPr>
    </w:p>
    <w:p w:rsidR="006A4F24" w:rsidRDefault="006A4F24">
      <w:pPr>
        <w:ind w:left="360"/>
        <w:rPr>
          <w:rFonts w:cs="Times New Roman"/>
        </w:rPr>
      </w:pPr>
      <w:r>
        <w:rPr>
          <w:rFonts w:cs="Times New Roman"/>
        </w:rPr>
        <w:tab/>
      </w:r>
    </w:p>
    <w:p w:rsidR="006A4F24" w:rsidRDefault="006A4F24">
      <w:pPr>
        <w:ind w:left="360"/>
        <w:rPr>
          <w:rFonts w:cs="Times New Roman"/>
          <w:sz w:val="28"/>
          <w:szCs w:val="28"/>
        </w:rPr>
      </w:pPr>
      <w:r>
        <w:rPr>
          <w:rFonts w:cs="Times New Roman"/>
          <w:b/>
          <w:bCs/>
          <w:sz w:val="28"/>
          <w:szCs w:val="28"/>
        </w:rPr>
        <w:t>zwiększenia  i zmniejszenia dotyczące roku 2012</w:t>
      </w:r>
    </w:p>
    <w:p w:rsidR="006A4F24" w:rsidRDefault="006A4F24">
      <w:pPr>
        <w:ind w:left="360"/>
        <w:rPr>
          <w:rFonts w:cs="Times New Roman"/>
        </w:rPr>
      </w:pPr>
    </w:p>
    <w:p w:rsidR="006A4F24" w:rsidRDefault="006A4F24">
      <w:pPr>
        <w:rPr>
          <w:rFonts w:cs="Times New Roman"/>
        </w:rPr>
      </w:pPr>
      <w:r>
        <w:rPr>
          <w:rFonts w:cs="Times New Roman"/>
        </w:rPr>
        <w:t xml:space="preserve">      1.  Zwiększa się  prognozę </w:t>
      </w:r>
      <w:r>
        <w:rPr>
          <w:rFonts w:cs="Times New Roman"/>
          <w:b/>
          <w:bCs/>
        </w:rPr>
        <w:t>dochodów</w:t>
      </w:r>
      <w:r>
        <w:rPr>
          <w:rFonts w:cs="Times New Roman"/>
        </w:rPr>
        <w:t xml:space="preserve"> na 2012 rok, o kwotę 250.000,00 </w:t>
      </w:r>
      <w:r>
        <w:rPr>
          <w:rFonts w:cs="Times New Roman"/>
          <w:b/>
          <w:bCs/>
          <w:i/>
          <w:iCs/>
        </w:rPr>
        <w:t>zł</w:t>
      </w:r>
      <w:r>
        <w:rPr>
          <w:rFonts w:cs="Times New Roman"/>
        </w:rPr>
        <w:t>, z tego:</w:t>
      </w:r>
    </w:p>
    <w:p w:rsidR="006A4F24" w:rsidRDefault="006A4F24">
      <w:pPr>
        <w:ind w:left="360"/>
        <w:rPr>
          <w:rFonts w:cs="Times New Roman"/>
        </w:rPr>
      </w:pPr>
      <w:r>
        <w:rPr>
          <w:rFonts w:cs="Times New Roman"/>
        </w:rPr>
        <w:t>- pozycja 1.a, dochody bieżące zwiększenie  na kwotę 250.000,00 zł.</w:t>
      </w:r>
    </w:p>
    <w:p w:rsidR="006A4F24" w:rsidRDefault="006A4F24">
      <w:pPr>
        <w:ind w:left="360"/>
        <w:rPr>
          <w:rFonts w:cs="Times New Roman"/>
        </w:rPr>
      </w:pPr>
    </w:p>
    <w:p w:rsidR="006A4F24" w:rsidRDefault="006A4F24">
      <w:pPr>
        <w:rPr>
          <w:rFonts w:cs="Times New Roman"/>
        </w:rPr>
      </w:pPr>
      <w:r>
        <w:rPr>
          <w:rFonts w:cs="Times New Roman"/>
        </w:rPr>
        <w:t xml:space="preserve">      2.  Zwiększa  się w poz.10 –wydatki majątkowe ogółem o kwotę 250.000 zł, w tym: w poz 10a zwiększa  się plan wydatków majątkowych o kwotę 250.000 zł.</w:t>
      </w:r>
    </w:p>
    <w:p w:rsidR="006A4F24" w:rsidRDefault="006A4F24">
      <w:pPr>
        <w:ind w:left="360"/>
        <w:rPr>
          <w:rFonts w:cs="Times New Roman"/>
        </w:rPr>
      </w:pPr>
    </w:p>
    <w:p w:rsidR="006A4F24" w:rsidRDefault="006A4F24">
      <w:pPr>
        <w:ind w:left="360"/>
        <w:rPr>
          <w:rFonts w:cs="Times New Roman"/>
        </w:rPr>
      </w:pPr>
    </w:p>
    <w:p w:rsidR="006A4F24" w:rsidRDefault="006A4F24">
      <w:pPr>
        <w:ind w:left="360"/>
        <w:rPr>
          <w:rFonts w:cs="Times New Roman"/>
          <w:b/>
          <w:bCs/>
        </w:rPr>
      </w:pPr>
      <w:r>
        <w:rPr>
          <w:rFonts w:cs="Times New Roman"/>
          <w:b/>
          <w:bCs/>
        </w:rPr>
        <w:t>Załącznik nr 2:</w:t>
      </w:r>
    </w:p>
    <w:p w:rsidR="006A4F24" w:rsidRDefault="006A4F24">
      <w:pPr>
        <w:ind w:left="360"/>
        <w:rPr>
          <w:rFonts w:cs="Times New Roman"/>
          <w:b/>
          <w:bCs/>
        </w:rPr>
      </w:pPr>
    </w:p>
    <w:p w:rsidR="006A4F24" w:rsidRDefault="006A4F24">
      <w:pPr>
        <w:rPr>
          <w:rFonts w:cs="Times New Roman"/>
          <w:b/>
          <w:bCs/>
          <w:sz w:val="28"/>
          <w:szCs w:val="28"/>
        </w:rPr>
      </w:pPr>
      <w:r>
        <w:rPr>
          <w:rFonts w:cs="Times New Roman"/>
          <w:b/>
          <w:bCs/>
          <w:sz w:val="28"/>
          <w:szCs w:val="28"/>
        </w:rPr>
        <w:t xml:space="preserve">   zwiększenia  i zmniejszenia dotyczące roku 2011</w:t>
      </w:r>
    </w:p>
    <w:p w:rsidR="006A4F24" w:rsidRDefault="006A4F24">
      <w:pPr>
        <w:rPr>
          <w:rFonts w:cs="Times New Roman"/>
        </w:rPr>
      </w:pPr>
    </w:p>
    <w:p w:rsidR="006A4F24" w:rsidRDefault="006A4F24">
      <w:pPr>
        <w:ind w:left="360"/>
        <w:rPr>
          <w:rFonts w:cs="Times New Roman"/>
          <w:b/>
          <w:bCs/>
        </w:rPr>
      </w:pPr>
    </w:p>
    <w:p w:rsidR="006A4F24" w:rsidRDefault="006A4F24">
      <w:pPr>
        <w:ind w:left="360"/>
        <w:rPr>
          <w:rFonts w:cs="Times New Roman"/>
        </w:rPr>
      </w:pPr>
    </w:p>
    <w:p w:rsidR="006A4F24" w:rsidRDefault="006A4F24">
      <w:pPr>
        <w:ind w:left="360"/>
        <w:rPr>
          <w:rFonts w:cs="Times New Roman"/>
          <w:b/>
          <w:bCs/>
        </w:rPr>
      </w:pPr>
      <w:r>
        <w:rPr>
          <w:rFonts w:cs="Times New Roman"/>
          <w:b/>
          <w:bCs/>
        </w:rPr>
        <w:t>Poz. 2c Programy . projekty lub zadania pozostałe (inne niż wymienione w lit. a i b) (razem)</w:t>
      </w:r>
    </w:p>
    <w:p w:rsidR="006A4F24" w:rsidRDefault="006A4F24">
      <w:pPr>
        <w:ind w:left="360"/>
        <w:rPr>
          <w:rFonts w:cs="Times New Roman"/>
        </w:rPr>
      </w:pPr>
      <w:r>
        <w:rPr>
          <w:rFonts w:cs="Times New Roman"/>
        </w:rPr>
        <w:t>- wprowadza się  plan wydatków dla  zadania  Polsko-Niemiecka wymiana młodzieży realizowanego przez ZSP Trzebiatów, na kwotę 5.200,00 zł,</w:t>
      </w:r>
    </w:p>
    <w:p w:rsidR="006A4F24" w:rsidRDefault="006A4F24">
      <w:pPr>
        <w:ind w:left="360"/>
        <w:rPr>
          <w:rFonts w:cs="Times New Roman"/>
        </w:rPr>
      </w:pPr>
    </w:p>
    <w:p w:rsidR="006A4F24" w:rsidRDefault="006A4F24">
      <w:pPr>
        <w:ind w:left="360"/>
        <w:rPr>
          <w:rFonts w:cs="Times New Roman"/>
        </w:rPr>
      </w:pPr>
      <w:r>
        <w:rPr>
          <w:rFonts w:cs="Times New Roman"/>
        </w:rPr>
        <w:t>- dokonuje się zwiększenia  planu wydatków dla zadania Comenius uczenie się przez całe życie, w wydatkach bieżących o kwotę 24.509,00 zł,</w:t>
      </w:r>
    </w:p>
    <w:p w:rsidR="006A4F24" w:rsidRDefault="006A4F24">
      <w:pPr>
        <w:ind w:left="360"/>
        <w:rPr>
          <w:rFonts w:cs="Times New Roman"/>
        </w:rPr>
      </w:pPr>
    </w:p>
    <w:p w:rsidR="006A4F24" w:rsidRDefault="006A4F24">
      <w:pPr>
        <w:ind w:left="360"/>
        <w:rPr>
          <w:rFonts w:cs="Times New Roman"/>
        </w:rPr>
      </w:pPr>
      <w:r>
        <w:rPr>
          <w:rFonts w:cs="Times New Roman"/>
        </w:rPr>
        <w:t>- dokonuje się zwiększenia planu wydatków dla zadania Budowa hali sportowej w Gryficach, w wydatkach majątkowych o kwotę 27.500,00 zł,</w:t>
      </w:r>
    </w:p>
    <w:p w:rsidR="006A4F24" w:rsidRDefault="006A4F24">
      <w:pPr>
        <w:ind w:left="360"/>
        <w:rPr>
          <w:rFonts w:cs="Times New Roman"/>
        </w:rPr>
      </w:pPr>
      <w:r>
        <w:rPr>
          <w:rFonts w:cs="Times New Roman"/>
        </w:rPr>
        <w:t>- zmniejsza się plan wydatków dla projektu remont odcina drogi powiatowej Nr 0136Z ul. Dabskiego oraz Nr 0208Z ul. Sportowa w m. Gryfice, w wydatkach majątkowych, o kwotę 280.208,17 zł,</w:t>
      </w:r>
    </w:p>
    <w:p w:rsidR="006A4F24" w:rsidRDefault="006A4F24">
      <w:pPr>
        <w:ind w:left="360"/>
        <w:rPr>
          <w:rFonts w:cs="Times New Roman"/>
        </w:rPr>
      </w:pPr>
    </w:p>
    <w:p w:rsidR="006A4F24" w:rsidRDefault="006A4F24">
      <w:pPr>
        <w:ind w:left="360"/>
        <w:rPr>
          <w:rFonts w:cs="Times New Roman"/>
        </w:rPr>
      </w:pPr>
      <w:r>
        <w:rPr>
          <w:rFonts w:cs="Times New Roman"/>
        </w:rPr>
        <w:t>- zmniejsza   się plan wydatków dla zadania Modernizacja kotłowni i termomodernizacja obiektów Domu Pomocy Społecznej w Jarominie-wykonanie dokumentacji, w wydatkach majątkowych, na kwotę 27.500,00 zł,</w:t>
      </w:r>
    </w:p>
    <w:p w:rsidR="006A4F24" w:rsidRDefault="006A4F24">
      <w:pPr>
        <w:ind w:left="360"/>
        <w:rPr>
          <w:rFonts w:cs="Times New Roman"/>
        </w:rPr>
      </w:pPr>
    </w:p>
    <w:p w:rsidR="006A4F24" w:rsidRDefault="006A4F24">
      <w:pPr>
        <w:rPr>
          <w:rFonts w:cs="Times New Roman"/>
          <w:b/>
          <w:bCs/>
          <w:sz w:val="28"/>
          <w:szCs w:val="28"/>
        </w:rPr>
      </w:pPr>
      <w:r>
        <w:rPr>
          <w:rFonts w:cs="Times New Roman"/>
          <w:b/>
          <w:bCs/>
          <w:sz w:val="28"/>
          <w:szCs w:val="28"/>
        </w:rPr>
        <w:t xml:space="preserve">       zwiększenia   dotyczące roku 2012</w:t>
      </w:r>
    </w:p>
    <w:p w:rsidR="006A4F24" w:rsidRDefault="006A4F24">
      <w:pPr>
        <w:rPr>
          <w:rFonts w:cs="Times New Roman"/>
        </w:rPr>
      </w:pPr>
    </w:p>
    <w:p w:rsidR="006A4F24" w:rsidRDefault="006A4F24">
      <w:pPr>
        <w:ind w:left="360"/>
        <w:rPr>
          <w:rFonts w:cs="Times New Roman"/>
        </w:rPr>
      </w:pPr>
    </w:p>
    <w:p w:rsidR="006A4F24" w:rsidRDefault="006A4F24">
      <w:pPr>
        <w:ind w:left="360"/>
        <w:rPr>
          <w:rFonts w:cs="Times New Roman"/>
        </w:rPr>
      </w:pPr>
    </w:p>
    <w:p w:rsidR="006A4F24" w:rsidRDefault="006A4F24">
      <w:pPr>
        <w:ind w:left="360"/>
        <w:rPr>
          <w:rFonts w:cs="Times New Roman"/>
        </w:rPr>
      </w:pPr>
      <w:r>
        <w:rPr>
          <w:rFonts w:cs="Times New Roman"/>
        </w:rPr>
        <w:t>- wprowadza się plan wydatków dla zadania „Termomodernizacja budynku ZSP w Płotach łącznie z modernizacją kotłowni, termomodernizacja budynku ZSP w Trzebiatowie”, w wydatkach majątkowych, na kwotę 250.000,00 zł.</w:t>
      </w:r>
    </w:p>
    <w:p w:rsidR="006A4F24" w:rsidRDefault="006A4F24">
      <w:pPr>
        <w:ind w:left="360"/>
        <w:rPr>
          <w:rFonts w:cs="Times New Roman"/>
        </w:rPr>
      </w:pPr>
    </w:p>
    <w:p w:rsidR="006A4F24" w:rsidRDefault="006A4F24">
      <w:pPr>
        <w:ind w:left="360"/>
        <w:rPr>
          <w:rFonts w:cs="Times New Roman"/>
        </w:rPr>
      </w:pPr>
    </w:p>
    <w:p w:rsidR="006A4F24" w:rsidRDefault="006A4F24">
      <w:pPr>
        <w:ind w:left="360"/>
        <w:rPr>
          <w:rFonts w:cs="Times New Roman"/>
        </w:rPr>
      </w:pPr>
    </w:p>
    <w:p w:rsidR="006A4F24" w:rsidRDefault="006A4F24">
      <w:pPr>
        <w:ind w:left="360"/>
        <w:rPr>
          <w:rFonts w:cs="Times New Roman"/>
        </w:rPr>
      </w:pPr>
    </w:p>
    <w:p w:rsidR="006A4F24" w:rsidRDefault="006A4F24">
      <w:pPr>
        <w:ind w:left="2836" w:firstLine="709"/>
        <w:jc w:val="center"/>
        <w:rPr>
          <w:rFonts w:cs="Times New Roman"/>
          <w:color w:val="000000"/>
          <w:sz w:val="28"/>
          <w:szCs w:val="28"/>
        </w:rPr>
      </w:pPr>
    </w:p>
    <w:p w:rsidR="006A4F24" w:rsidRDefault="006A4F24">
      <w:pPr>
        <w:rPr>
          <w:rFonts w:cs="Times New Roman"/>
          <w:color w:val="000000"/>
          <w:sz w:val="22"/>
          <w:szCs w:val="22"/>
        </w:rPr>
      </w:pPr>
    </w:p>
    <w:sectPr w:rsidR="006A4F24" w:rsidSect="006A4F24">
      <w:headerReference w:type="even" r:id="rId7"/>
      <w:headerReference w:type="default" r:id="rId8"/>
      <w:pgSz w:w="11906" w:h="16838" w:code="9"/>
      <w:pgMar w:top="1134"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F24" w:rsidRDefault="006A4F24">
      <w:pPr>
        <w:rPr>
          <w:rFonts w:cs="Times New Roman"/>
        </w:rPr>
      </w:pPr>
      <w:r>
        <w:rPr>
          <w:rFonts w:cs="Times New Roman"/>
        </w:rPr>
        <w:separator/>
      </w:r>
    </w:p>
  </w:endnote>
  <w:endnote w:type="continuationSeparator" w:id="0">
    <w:p w:rsidR="006A4F24" w:rsidRDefault="006A4F2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F24" w:rsidRDefault="006A4F24">
      <w:pPr>
        <w:rPr>
          <w:rFonts w:cs="Times New Roman"/>
        </w:rPr>
      </w:pPr>
      <w:r>
        <w:rPr>
          <w:rFonts w:cs="Times New Roman"/>
        </w:rPr>
        <w:separator/>
      </w:r>
    </w:p>
  </w:footnote>
  <w:footnote w:type="continuationSeparator" w:id="0">
    <w:p w:rsidR="006A4F24" w:rsidRDefault="006A4F2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24" w:rsidRDefault="006A4F24">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2</w:t>
    </w:r>
    <w:r>
      <w:rPr>
        <w:rStyle w:val="PageNumber"/>
        <w:sz w:val="26"/>
        <w:szCs w:val="26"/>
      </w:rPr>
      <w:fldChar w:fldCharType="end"/>
    </w:r>
  </w:p>
  <w:p w:rsidR="006A4F24" w:rsidRDefault="006A4F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24" w:rsidRDefault="006A4F24">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3</w:t>
    </w:r>
    <w:r>
      <w:rPr>
        <w:rStyle w:val="PageNumber"/>
        <w:sz w:val="26"/>
        <w:szCs w:val="26"/>
      </w:rPr>
      <w:fldChar w:fldCharType="end"/>
    </w:r>
  </w:p>
  <w:p w:rsidR="006A4F24" w:rsidRDefault="006A4F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D8B"/>
    <w:multiLevelType w:val="hybridMultilevel"/>
    <w:tmpl w:val="165C48E4"/>
    <w:lvl w:ilvl="0" w:tplc="D14C116A">
      <w:start w:val="1"/>
      <w:numFmt w:val="decimal"/>
      <w:lvlText w:val="%1)"/>
      <w:lvlJc w:val="left"/>
      <w:pPr>
        <w:ind w:left="644" w:hanging="360"/>
      </w:pPr>
      <w:rPr>
        <w:rFonts w:ascii="Times New Roman" w:eastAsia="Times New Roman" w:hAnsi="Times New Roman"/>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
    <w:nsid w:val="0B5E3408"/>
    <w:multiLevelType w:val="hybridMultilevel"/>
    <w:tmpl w:val="B2D63F68"/>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
    <w:nsid w:val="0DA06D9B"/>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E5D2C67"/>
    <w:multiLevelType w:val="hybridMultilevel"/>
    <w:tmpl w:val="46AC88A6"/>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4">
    <w:nsid w:val="10177D8D"/>
    <w:multiLevelType w:val="hybridMultilevel"/>
    <w:tmpl w:val="D874631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2C23F7F"/>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12D9518A"/>
    <w:multiLevelType w:val="hybridMultilevel"/>
    <w:tmpl w:val="E116AD0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181F1B63"/>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AF67DAD"/>
    <w:multiLevelType w:val="hybridMultilevel"/>
    <w:tmpl w:val="76E8FCF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1E9D242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F246A47"/>
    <w:multiLevelType w:val="hybridMultilevel"/>
    <w:tmpl w:val="E50CAC7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F9F554D"/>
    <w:multiLevelType w:val="hybridMultilevel"/>
    <w:tmpl w:val="60BC9BC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73836E2"/>
    <w:multiLevelType w:val="hybridMultilevel"/>
    <w:tmpl w:val="5776B09E"/>
    <w:lvl w:ilvl="0" w:tplc="A5BEDE4C">
      <w:start w:val="1"/>
      <w:numFmt w:val="lowerLetter"/>
      <w:lvlText w:val="%1."/>
      <w:lvlJc w:val="left"/>
      <w:pPr>
        <w:tabs>
          <w:tab w:val="num" w:pos="360"/>
        </w:tabs>
        <w:ind w:left="360" w:hanging="360"/>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6BC149E"/>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3F2F30CF"/>
    <w:multiLevelType w:val="hybridMultilevel"/>
    <w:tmpl w:val="41EE985C"/>
    <w:lvl w:ilvl="0" w:tplc="0415000F">
      <w:start w:val="1"/>
      <w:numFmt w:val="decimal"/>
      <w:lvlText w:val="%1."/>
      <w:lvlJc w:val="left"/>
      <w:pPr>
        <w:tabs>
          <w:tab w:val="num" w:pos="1429"/>
        </w:tabs>
        <w:ind w:left="1429" w:hanging="360"/>
      </w:pPr>
      <w:rPr>
        <w:rFonts w:ascii="Times New Roman" w:hAnsi="Times New Roman" w:cs="Times New Roman"/>
      </w:rPr>
    </w:lvl>
    <w:lvl w:ilvl="1" w:tplc="04150019">
      <w:start w:val="1"/>
      <w:numFmt w:val="lowerLetter"/>
      <w:lvlText w:val="%2."/>
      <w:lvlJc w:val="left"/>
      <w:pPr>
        <w:tabs>
          <w:tab w:val="num" w:pos="2149"/>
        </w:tabs>
        <w:ind w:left="2149" w:hanging="360"/>
      </w:pPr>
      <w:rPr>
        <w:rFonts w:ascii="Times New Roman" w:hAnsi="Times New Roman" w:cs="Times New Roman"/>
      </w:rPr>
    </w:lvl>
    <w:lvl w:ilvl="2" w:tplc="0415001B">
      <w:start w:val="1"/>
      <w:numFmt w:val="lowerRoman"/>
      <w:lvlText w:val="%3."/>
      <w:lvlJc w:val="right"/>
      <w:pPr>
        <w:tabs>
          <w:tab w:val="num" w:pos="2869"/>
        </w:tabs>
        <w:ind w:left="2869" w:hanging="180"/>
      </w:pPr>
      <w:rPr>
        <w:rFonts w:ascii="Times New Roman" w:hAnsi="Times New Roman" w:cs="Times New Roman"/>
      </w:rPr>
    </w:lvl>
    <w:lvl w:ilvl="3" w:tplc="0415000F">
      <w:start w:val="1"/>
      <w:numFmt w:val="decimal"/>
      <w:lvlText w:val="%4."/>
      <w:lvlJc w:val="left"/>
      <w:pPr>
        <w:tabs>
          <w:tab w:val="num" w:pos="3589"/>
        </w:tabs>
        <w:ind w:left="3589" w:hanging="360"/>
      </w:pPr>
      <w:rPr>
        <w:rFonts w:ascii="Times New Roman" w:hAnsi="Times New Roman" w:cs="Times New Roman"/>
      </w:rPr>
    </w:lvl>
    <w:lvl w:ilvl="4" w:tplc="04150019">
      <w:start w:val="1"/>
      <w:numFmt w:val="lowerLetter"/>
      <w:lvlText w:val="%5."/>
      <w:lvlJc w:val="left"/>
      <w:pPr>
        <w:tabs>
          <w:tab w:val="num" w:pos="4309"/>
        </w:tabs>
        <w:ind w:left="4309" w:hanging="360"/>
      </w:pPr>
      <w:rPr>
        <w:rFonts w:ascii="Times New Roman" w:hAnsi="Times New Roman" w:cs="Times New Roman"/>
      </w:rPr>
    </w:lvl>
    <w:lvl w:ilvl="5" w:tplc="0415001B">
      <w:start w:val="1"/>
      <w:numFmt w:val="lowerRoman"/>
      <w:lvlText w:val="%6."/>
      <w:lvlJc w:val="right"/>
      <w:pPr>
        <w:tabs>
          <w:tab w:val="num" w:pos="5029"/>
        </w:tabs>
        <w:ind w:left="5029" w:hanging="180"/>
      </w:pPr>
      <w:rPr>
        <w:rFonts w:ascii="Times New Roman" w:hAnsi="Times New Roman" w:cs="Times New Roman"/>
      </w:rPr>
    </w:lvl>
    <w:lvl w:ilvl="6" w:tplc="0415000F">
      <w:start w:val="1"/>
      <w:numFmt w:val="decimal"/>
      <w:lvlText w:val="%7."/>
      <w:lvlJc w:val="left"/>
      <w:pPr>
        <w:tabs>
          <w:tab w:val="num" w:pos="5749"/>
        </w:tabs>
        <w:ind w:left="5749" w:hanging="360"/>
      </w:pPr>
      <w:rPr>
        <w:rFonts w:ascii="Times New Roman" w:hAnsi="Times New Roman" w:cs="Times New Roman"/>
      </w:rPr>
    </w:lvl>
    <w:lvl w:ilvl="7" w:tplc="04150019">
      <w:start w:val="1"/>
      <w:numFmt w:val="lowerLetter"/>
      <w:lvlText w:val="%8."/>
      <w:lvlJc w:val="left"/>
      <w:pPr>
        <w:tabs>
          <w:tab w:val="num" w:pos="6469"/>
        </w:tabs>
        <w:ind w:left="6469" w:hanging="360"/>
      </w:pPr>
      <w:rPr>
        <w:rFonts w:ascii="Times New Roman" w:hAnsi="Times New Roman" w:cs="Times New Roman"/>
      </w:rPr>
    </w:lvl>
    <w:lvl w:ilvl="8" w:tplc="0415001B">
      <w:start w:val="1"/>
      <w:numFmt w:val="lowerRoman"/>
      <w:lvlText w:val="%9."/>
      <w:lvlJc w:val="right"/>
      <w:pPr>
        <w:tabs>
          <w:tab w:val="num" w:pos="7189"/>
        </w:tabs>
        <w:ind w:left="7189" w:hanging="180"/>
      </w:pPr>
      <w:rPr>
        <w:rFonts w:ascii="Times New Roman" w:hAnsi="Times New Roman" w:cs="Times New Roman"/>
      </w:rPr>
    </w:lvl>
  </w:abstractNum>
  <w:abstractNum w:abstractNumId="15">
    <w:nsid w:val="4751427C"/>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491B4BB5"/>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BDC0504"/>
    <w:multiLevelType w:val="hybridMultilevel"/>
    <w:tmpl w:val="25C660D6"/>
    <w:lvl w:ilvl="0" w:tplc="CE2271F8">
      <w:start w:val="3"/>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nsid w:val="508A1419"/>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54A33C80"/>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59DF0A5A"/>
    <w:multiLevelType w:val="hybridMultilevel"/>
    <w:tmpl w:val="45FA1C52"/>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5C114A1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DEC7449"/>
    <w:multiLevelType w:val="hybridMultilevel"/>
    <w:tmpl w:val="E084AD74"/>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63726032"/>
    <w:multiLevelType w:val="hybridMultilevel"/>
    <w:tmpl w:val="3E5467C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65A826FB"/>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6B783A35"/>
    <w:multiLevelType w:val="hybridMultilevel"/>
    <w:tmpl w:val="8A72BF5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6BD06414"/>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6C097464"/>
    <w:multiLevelType w:val="hybridMultilevel"/>
    <w:tmpl w:val="F5903062"/>
    <w:lvl w:ilvl="0" w:tplc="9618BF00">
      <w:start w:val="4"/>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nsid w:val="6C1C33ED"/>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6E6D0BC6"/>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79B60627"/>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F0525D8"/>
    <w:multiLevelType w:val="hybridMultilevel"/>
    <w:tmpl w:val="19E820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28"/>
  </w:num>
  <w:num w:numId="2">
    <w:abstractNumId w:val="23"/>
  </w:num>
  <w:num w:numId="3">
    <w:abstractNumId w:val="18"/>
  </w:num>
  <w:num w:numId="4">
    <w:abstractNumId w:val="25"/>
  </w:num>
  <w:num w:numId="5">
    <w:abstractNumId w:val="21"/>
  </w:num>
  <w:num w:numId="6">
    <w:abstractNumId w:val="10"/>
  </w:num>
  <w:num w:numId="7">
    <w:abstractNumId w:val="15"/>
  </w:num>
  <w:num w:numId="8">
    <w:abstractNumId w:val="11"/>
  </w:num>
  <w:num w:numId="9">
    <w:abstractNumId w:val="30"/>
  </w:num>
  <w:num w:numId="10">
    <w:abstractNumId w:val="20"/>
  </w:num>
  <w:num w:numId="11">
    <w:abstractNumId w:val="6"/>
  </w:num>
  <w:num w:numId="12">
    <w:abstractNumId w:val="22"/>
  </w:num>
  <w:num w:numId="13">
    <w:abstractNumId w:val="31"/>
  </w:num>
  <w:num w:numId="14">
    <w:abstractNumId w:val="4"/>
  </w:num>
  <w:num w:numId="15">
    <w:abstractNumId w:val="8"/>
  </w:num>
  <w:num w:numId="16">
    <w:abstractNumId w:val="12"/>
  </w:num>
  <w:num w:numId="17">
    <w:abstractNumId w:val="2"/>
  </w:num>
  <w:num w:numId="18">
    <w:abstractNumId w:val="7"/>
  </w:num>
  <w:num w:numId="19">
    <w:abstractNumId w:val="16"/>
  </w:num>
  <w:num w:numId="20">
    <w:abstractNumId w:val="24"/>
  </w:num>
  <w:num w:numId="21">
    <w:abstractNumId w:val="3"/>
  </w:num>
  <w:num w:numId="22">
    <w:abstractNumId w:val="1"/>
  </w:num>
  <w:num w:numId="23">
    <w:abstractNumId w:val="26"/>
  </w:num>
  <w:num w:numId="24">
    <w:abstractNumId w:val="5"/>
  </w:num>
  <w:num w:numId="25">
    <w:abstractNumId w:val="29"/>
  </w:num>
  <w:num w:numId="26">
    <w:abstractNumId w:val="13"/>
  </w:num>
  <w:num w:numId="27">
    <w:abstractNumId w:val="9"/>
  </w:num>
  <w:num w:numId="28">
    <w:abstractNumId w:val="19"/>
  </w:num>
  <w:num w:numId="29">
    <w:abstractNumId w:val="17"/>
  </w:num>
  <w:num w:numId="30">
    <w:abstractNumId w:val="27"/>
  </w:num>
  <w:num w:numId="31">
    <w:abstractNumId w:val="0"/>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09"/>
  <w:autoHyphenation/>
  <w:hyphenationZone w:val="142"/>
  <w:doNotHyphenateCaps/>
  <w:evenAndOddHeader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4F24"/>
    <w:rsid w:val="006A4F2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envelope address" w:unhideWhenUsed="0"/>
    <w:lsdException w:name="envelope return" w:unhideWhenUsed="0"/>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autoRedefine/>
    <w:uiPriority w:val="99"/>
    <w:qFormat/>
    <w:pPr>
      <w:keepNext/>
      <w:spacing w:before="360" w:after="360"/>
      <w:outlineLvl w:val="0"/>
    </w:pPr>
    <w:rPr>
      <w:rFonts w:ascii="Arial" w:hAnsi="Arial" w:cs="Arial"/>
      <w:b/>
      <w:bCs/>
      <w:kern w:val="32"/>
      <w:sz w:val="40"/>
      <w:szCs w:val="40"/>
    </w:rPr>
  </w:style>
  <w:style w:type="paragraph" w:styleId="Heading2">
    <w:name w:val="heading 2"/>
    <w:basedOn w:val="Normal"/>
    <w:next w:val="Normal"/>
    <w:link w:val="Heading2Char"/>
    <w:autoRedefine/>
    <w:uiPriority w:val="99"/>
    <w:qFormat/>
    <w:pPr>
      <w:keepNext/>
      <w:spacing w:before="240" w:after="240"/>
      <w:outlineLvl w:val="1"/>
    </w:pPr>
    <w:rPr>
      <w:rFonts w:ascii="Arial" w:hAnsi="Arial" w:cs="Arial"/>
      <w:b/>
      <w:bCs/>
      <w:sz w:val="36"/>
      <w:szCs w:val="36"/>
    </w:rPr>
  </w:style>
  <w:style w:type="paragraph" w:styleId="Heading3">
    <w:name w:val="heading 3"/>
    <w:basedOn w:val="Normal"/>
    <w:next w:val="Normal"/>
    <w:link w:val="Heading3Char"/>
    <w:autoRedefine/>
    <w:uiPriority w:val="99"/>
    <w:qFormat/>
    <w:pPr>
      <w:keepNext/>
      <w:spacing w:before="180" w:after="180"/>
      <w:outlineLvl w:val="2"/>
    </w:pPr>
    <w:rPr>
      <w:rFonts w:ascii="Arial" w:hAnsi="Arial" w:cs="Arial"/>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styleId="FootnoteText">
    <w:name w:val="footnote text"/>
    <w:basedOn w:val="Normal"/>
    <w:link w:val="FootnoteTextChar"/>
    <w:uiPriority w:val="99"/>
    <w:pPr>
      <w:ind w:left="170" w:hanging="170"/>
    </w:pPr>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TOC1">
    <w:name w:val="toc 1"/>
    <w:basedOn w:val="Normal"/>
    <w:next w:val="Normal"/>
    <w:autoRedefine/>
    <w:uiPriority w:val="99"/>
    <w:pPr>
      <w:tabs>
        <w:tab w:val="right" w:leader="dot" w:pos="9627"/>
      </w:tabs>
      <w:ind w:left="280" w:hanging="280"/>
    </w:pPr>
    <w:rPr>
      <w:rFonts w:cs="Times New Roman"/>
    </w:rPr>
  </w:style>
  <w:style w:type="paragraph" w:styleId="TOC2">
    <w:name w:val="toc 2"/>
    <w:basedOn w:val="Normal"/>
    <w:next w:val="Normal"/>
    <w:autoRedefine/>
    <w:uiPriority w:val="99"/>
    <w:pPr>
      <w:tabs>
        <w:tab w:val="right" w:leader="dot" w:pos="9627"/>
      </w:tabs>
      <w:ind w:left="840" w:hanging="560"/>
    </w:pPr>
    <w:rPr>
      <w:rFonts w:cs="Times New Roman"/>
    </w:rPr>
  </w:style>
  <w:style w:type="paragraph" w:styleId="EnvelopeAddress">
    <w:name w:val="envelope address"/>
    <w:basedOn w:val="Normal"/>
    <w:uiPriority w:val="99"/>
    <w:pPr>
      <w:framePr w:w="7920" w:h="1980" w:hRule="exact" w:hSpace="141" w:wrap="auto" w:hAnchor="page" w:xAlign="center" w:yAlign="bottom"/>
      <w:ind w:left="2880"/>
    </w:pPr>
    <w:rPr>
      <w:rFonts w:ascii="Arial" w:hAnsi="Arial" w:cs="Arial"/>
      <w:b/>
      <w:bCs/>
      <w:i/>
      <w:iCs/>
      <w:sz w:val="32"/>
      <w:szCs w:val="32"/>
    </w:rPr>
  </w:style>
  <w:style w:type="paragraph" w:styleId="EnvelopeReturn">
    <w:name w:val="envelope return"/>
    <w:basedOn w:val="Normal"/>
    <w:uiPriority w:val="99"/>
    <w:rPr>
      <w:rFonts w:ascii="Arial" w:hAnsi="Arial" w:cs="Arial"/>
    </w:rPr>
  </w:style>
  <w:style w:type="paragraph" w:styleId="Header">
    <w:name w:val="header"/>
    <w:basedOn w:val="Normal"/>
    <w:link w:val="HeaderChar"/>
    <w:uiPriority w:val="99"/>
    <w:pPr>
      <w:tabs>
        <w:tab w:val="center" w:pos="4536"/>
        <w:tab w:val="right" w:pos="9072"/>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paragraph" w:styleId="BodyText2">
    <w:name w:val="Body Text 2"/>
    <w:basedOn w:val="Normal"/>
    <w:link w:val="BodyText2Char"/>
    <w:uiPriority w:val="99"/>
    <w:pPr>
      <w:spacing w:line="360" w:lineRule="auto"/>
      <w:jc w:val="both"/>
    </w:pPr>
    <w:rPr>
      <w:rFonts w:cs="Times New Roman"/>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BodyTextIndent2">
    <w:name w:val="Body Text Indent 2"/>
    <w:basedOn w:val="Normal"/>
    <w:link w:val="BodyTextIndent2Char"/>
    <w:uiPriority w:val="99"/>
    <w:pPr>
      <w:spacing w:line="360" w:lineRule="auto"/>
      <w:ind w:left="284"/>
      <w:jc w:val="both"/>
    </w:pPr>
    <w:rPr>
      <w:rFonts w:cs="Times New Roman"/>
      <w:sz w:val="24"/>
      <w:szCs w:val="24"/>
    </w:r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styleId="ListParagraph">
    <w:name w:val="List Paragraph"/>
    <w:basedOn w:val="Normal"/>
    <w:uiPriority w:val="99"/>
    <w:qFormat/>
    <w:pPr>
      <w:ind w:left="720"/>
    </w:pPr>
    <w:rPr>
      <w:rFonts w:cs="Times New Roman"/>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208</TotalTime>
  <Pages>3</Pages>
  <Words>606</Words>
  <Characters>3459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Mkus</dc:creator>
  <cp:keywords/>
  <dc:description/>
  <cp:lastModifiedBy>Starostwo</cp:lastModifiedBy>
  <cp:revision>59</cp:revision>
  <cp:lastPrinted>2011-07-18T11:55:00Z</cp:lastPrinted>
  <dcterms:created xsi:type="dcterms:W3CDTF">2009-10-15T06:56:00Z</dcterms:created>
  <dcterms:modified xsi:type="dcterms:W3CDTF">2011-08-31T10:59:00Z</dcterms:modified>
</cp:coreProperties>
</file>