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B6D" w:rsidRDefault="00D41B6D">
      <w:pPr>
        <w:pStyle w:val="Heading3"/>
        <w:keepNext w:val="0"/>
        <w:spacing w:before="240"/>
        <w:jc w:val="center"/>
        <w:rPr>
          <w:color w:val="000000"/>
        </w:rPr>
      </w:pPr>
      <w:r>
        <w:rPr>
          <w:color w:val="000000"/>
        </w:rPr>
        <w:t>Uchwała Nr XV/107/11</w:t>
      </w:r>
    </w:p>
    <w:p w:rsidR="00D41B6D" w:rsidRDefault="00D41B6D">
      <w:pPr>
        <w:spacing w:before="120"/>
        <w:jc w:val="center"/>
        <w:rPr>
          <w:rFonts w:cs="Times New Roman"/>
          <w:b/>
          <w:bCs/>
          <w:color w:val="000000"/>
          <w:sz w:val="32"/>
          <w:szCs w:val="32"/>
        </w:rPr>
      </w:pPr>
      <w:r>
        <w:rPr>
          <w:rFonts w:cs="Times New Roman"/>
          <w:b/>
          <w:bCs/>
          <w:color w:val="000000"/>
          <w:sz w:val="32"/>
          <w:szCs w:val="32"/>
        </w:rPr>
        <w:t>Rady Powiatu Gryfickiego</w:t>
      </w:r>
    </w:p>
    <w:p w:rsidR="00D41B6D" w:rsidRDefault="00D41B6D">
      <w:pPr>
        <w:spacing w:before="120"/>
        <w:jc w:val="center"/>
        <w:rPr>
          <w:rFonts w:cs="Times New Roman"/>
          <w:b/>
          <w:bCs/>
          <w:color w:val="000000"/>
          <w:sz w:val="32"/>
          <w:szCs w:val="32"/>
        </w:rPr>
      </w:pPr>
      <w:r>
        <w:rPr>
          <w:rFonts w:cs="Times New Roman"/>
          <w:b/>
          <w:bCs/>
          <w:color w:val="000000"/>
          <w:sz w:val="32"/>
          <w:szCs w:val="32"/>
        </w:rPr>
        <w:t>z dnia 29 grudnia  2011 roku</w:t>
      </w:r>
    </w:p>
    <w:p w:rsidR="00D41B6D" w:rsidRDefault="00D41B6D">
      <w:pPr>
        <w:spacing w:before="120"/>
        <w:jc w:val="both"/>
        <w:rPr>
          <w:rFonts w:cs="Times New Roman"/>
          <w:b/>
          <w:bCs/>
          <w:color w:val="000000"/>
          <w:sz w:val="28"/>
          <w:szCs w:val="28"/>
        </w:rPr>
      </w:pPr>
      <w:r>
        <w:rPr>
          <w:rFonts w:cs="Times New Roman"/>
          <w:b/>
          <w:bCs/>
          <w:color w:val="000000"/>
          <w:sz w:val="28"/>
          <w:szCs w:val="28"/>
        </w:rPr>
        <w:t xml:space="preserve">w sprawie zmiany Uchwały Nr III/23/10  Rady Powiatu Gryfickiego oraz zmian w wieloletniej prognozie finansowej Powiatu Gryfickiego na lata 2011-2021. </w:t>
      </w:r>
    </w:p>
    <w:p w:rsidR="00D41B6D" w:rsidRDefault="00D41B6D">
      <w:pPr>
        <w:pStyle w:val="BodyText2"/>
        <w:spacing w:before="360" w:line="240" w:lineRule="auto"/>
        <w:ind w:firstLine="709"/>
        <w:rPr>
          <w:color w:val="000000"/>
          <w:sz w:val="28"/>
          <w:szCs w:val="28"/>
        </w:rPr>
      </w:pPr>
      <w:r>
        <w:rPr>
          <w:color w:val="000000"/>
          <w:sz w:val="28"/>
          <w:szCs w:val="28"/>
        </w:rPr>
        <w:t>Na podstawie art.226, art.227, art.228 art. 230 ust. 6  i art.243 ustawy z dnia 27 sierpnia 2009 r. o finansach publicznych (Dz. U. Nr 157, poz. 1240 oraz z 2010 r. Nr 28, poz. 146, Nr 96, poz. 620,  Nr 123, poz. 835, Nr 152, poz. 1020, Nr 238, poz. 1578, Nr 257, poz. 1726,) Rada Powiatu uchwala, co następuje:</w:t>
      </w:r>
    </w:p>
    <w:p w:rsidR="00D41B6D" w:rsidRDefault="00D41B6D">
      <w:pPr>
        <w:pStyle w:val="BodyText2"/>
        <w:spacing w:before="360" w:line="240" w:lineRule="auto"/>
        <w:rPr>
          <w:b/>
          <w:bCs/>
          <w:color w:val="000000"/>
          <w:sz w:val="28"/>
          <w:szCs w:val="28"/>
        </w:rPr>
      </w:pPr>
      <w:r>
        <w:rPr>
          <w:b/>
          <w:bCs/>
          <w:color w:val="000000"/>
          <w:sz w:val="28"/>
          <w:szCs w:val="28"/>
        </w:rPr>
        <w:t>§ 1</w:t>
      </w:r>
      <w:r>
        <w:rPr>
          <w:color w:val="000000"/>
          <w:sz w:val="28"/>
          <w:szCs w:val="28"/>
        </w:rPr>
        <w:t>.  W uchwale Nr III/23/10 Rady Powiatu Gryfickiego w sprawie uchwalenia wieloletniej prognozy finansowej Powiatu Gryfickiego na lata 2011-2021,zmienioną Uchwałą Nr IV/28/11Rady Powiatu Gryfickiego z dnia 26 stycznia 2011r., zmienioną Uchwałą Nr V/40/11Rady Powiatu Gryfickiego z dnia 28 lutego 2011r., zmienioną Uchwałą Nr VI/48/11Rady Powiatu Gryfickiego z dnia 30 marca 2011r., zmienioną Uchwałą Nr VII/55/11Rady Powiatu Gryfickiego z dnia 27 maja 2011r., zmienioną Uchwałą Nr VIII/63/11Rady Powiatu Gryfickiego z dnia 21 czerwca 2011r., zmienioną Uchwałą Nr IX/68/11Rady Powiatu Gryfickiego z dnia 15 lipca 2011r.,   zmienioną Uchwałą Nr X/72/11Rady Powiatu Gryfickiego z dnia 30 sierpnia 2011r., zmienioną Uchwałą Nr XI/82/11Rady Powiatu Gryfickiego z dnia 28 września 2011r zmienioną Uchwałą Nr XII/91/11Rady Powiatu Gryfickiego z dnia 27 października 2011r , zmienioną Uchwałą Nr XIII/94/11Rady Powiatu Gryfickiego z dnia 30 listopada 2011r wprowadza się następujące zmiany:</w:t>
      </w:r>
    </w:p>
    <w:p w:rsidR="00D41B6D" w:rsidRDefault="00D41B6D">
      <w:pPr>
        <w:pStyle w:val="BodyText2"/>
        <w:numPr>
          <w:ilvl w:val="0"/>
          <w:numId w:val="32"/>
        </w:numPr>
        <w:spacing w:before="360" w:line="240" w:lineRule="auto"/>
        <w:rPr>
          <w:color w:val="000000"/>
          <w:sz w:val="28"/>
          <w:szCs w:val="28"/>
        </w:rPr>
      </w:pPr>
      <w:r>
        <w:rPr>
          <w:color w:val="000000"/>
          <w:sz w:val="28"/>
          <w:szCs w:val="28"/>
        </w:rPr>
        <w:t>Załącznik Nr 1 „Wieloletnia Prognoza Finansowa Powiatu Gryfickiego na lata 2011-2021 „ otrzymuje brzmienie  jak załącznik Nr 1.</w:t>
      </w:r>
    </w:p>
    <w:p w:rsidR="00D41B6D" w:rsidRDefault="00D41B6D">
      <w:pPr>
        <w:pStyle w:val="BodyText2"/>
        <w:numPr>
          <w:ilvl w:val="0"/>
          <w:numId w:val="32"/>
        </w:numPr>
        <w:spacing w:before="360" w:line="240" w:lineRule="auto"/>
        <w:rPr>
          <w:color w:val="000000"/>
          <w:sz w:val="28"/>
          <w:szCs w:val="28"/>
        </w:rPr>
      </w:pPr>
      <w:r>
        <w:t>Załącznik Nr 3”Planowane i realizowane przedsięwzięcia Powiatu Gryfickiego  w latach 2011-2021”otrzymuje brzmienie jak załącznik Nr 2.</w:t>
      </w:r>
    </w:p>
    <w:p w:rsidR="00D41B6D" w:rsidRDefault="00D41B6D">
      <w:pPr>
        <w:pStyle w:val="BodyText2"/>
        <w:spacing w:before="360" w:line="240" w:lineRule="auto"/>
        <w:rPr>
          <w:sz w:val="28"/>
          <w:szCs w:val="28"/>
        </w:rPr>
      </w:pPr>
      <w:r>
        <w:rPr>
          <w:b/>
          <w:bCs/>
          <w:sz w:val="28"/>
          <w:szCs w:val="28"/>
        </w:rPr>
        <w:t>§ 2.</w:t>
      </w:r>
      <w:r>
        <w:rPr>
          <w:sz w:val="28"/>
          <w:szCs w:val="28"/>
        </w:rPr>
        <w:t>Wykonanie uchwały powierza się Zarządowi Powiatu.</w:t>
      </w:r>
    </w:p>
    <w:p w:rsidR="00D41B6D" w:rsidRDefault="00D41B6D">
      <w:pPr>
        <w:pStyle w:val="BodyText2"/>
        <w:spacing w:before="360" w:line="240" w:lineRule="auto"/>
        <w:rPr>
          <w:color w:val="000000"/>
          <w:sz w:val="28"/>
          <w:szCs w:val="28"/>
        </w:rPr>
      </w:pPr>
    </w:p>
    <w:p w:rsidR="00D41B6D" w:rsidRDefault="00D41B6D">
      <w:pPr>
        <w:keepNext/>
        <w:tabs>
          <w:tab w:val="right" w:pos="7655"/>
          <w:tab w:val="right" w:pos="9498"/>
        </w:tabs>
        <w:spacing w:before="240"/>
        <w:rPr>
          <w:rFonts w:cs="Times New Roman"/>
          <w:color w:val="000000"/>
          <w:sz w:val="28"/>
          <w:szCs w:val="28"/>
        </w:rPr>
      </w:pPr>
      <w:r>
        <w:rPr>
          <w:rFonts w:cs="Times New Roman"/>
          <w:b/>
          <w:bCs/>
          <w:color w:val="000000"/>
          <w:sz w:val="28"/>
          <w:szCs w:val="28"/>
        </w:rPr>
        <w:t>§ 3</w:t>
      </w:r>
      <w:r>
        <w:rPr>
          <w:rFonts w:cs="Times New Roman"/>
          <w:color w:val="000000"/>
          <w:sz w:val="28"/>
          <w:szCs w:val="28"/>
        </w:rPr>
        <w:t>.Uchwała wchodzi w życie z  dniem podjęcia</w:t>
      </w:r>
    </w:p>
    <w:p w:rsidR="00D41B6D" w:rsidRDefault="00D41B6D">
      <w:pPr>
        <w:keepNext/>
        <w:tabs>
          <w:tab w:val="right" w:pos="7655"/>
          <w:tab w:val="right" w:pos="9498"/>
        </w:tabs>
        <w:spacing w:before="240"/>
        <w:rPr>
          <w:rFonts w:cs="Times New Roman"/>
          <w:color w:val="000000"/>
          <w:sz w:val="28"/>
          <w:szCs w:val="28"/>
        </w:rPr>
      </w:pPr>
    </w:p>
    <w:p w:rsidR="00D41B6D" w:rsidRDefault="00D41B6D">
      <w:pPr>
        <w:ind w:left="4254"/>
        <w:jc w:val="center"/>
        <w:rPr>
          <w:rFonts w:cs="Times New Roman"/>
          <w:color w:val="000000"/>
          <w:sz w:val="28"/>
          <w:szCs w:val="28"/>
        </w:rPr>
      </w:pPr>
      <w:r>
        <w:rPr>
          <w:rFonts w:cs="Times New Roman"/>
          <w:color w:val="000000"/>
          <w:sz w:val="28"/>
          <w:szCs w:val="28"/>
        </w:rPr>
        <w:t>Przewodnicząca Rady Powiatu</w:t>
      </w:r>
    </w:p>
    <w:p w:rsidR="00D41B6D" w:rsidRDefault="00D41B6D">
      <w:pPr>
        <w:ind w:left="4254"/>
        <w:jc w:val="center"/>
        <w:rPr>
          <w:rFonts w:cs="Times New Roman"/>
          <w:color w:val="000000"/>
          <w:sz w:val="28"/>
          <w:szCs w:val="28"/>
        </w:rPr>
      </w:pPr>
    </w:p>
    <w:p w:rsidR="00D41B6D" w:rsidRDefault="00D41B6D">
      <w:pPr>
        <w:ind w:left="2836" w:firstLine="709"/>
        <w:jc w:val="center"/>
        <w:rPr>
          <w:rFonts w:cs="Times New Roman"/>
          <w:color w:val="000000"/>
          <w:sz w:val="28"/>
          <w:szCs w:val="28"/>
        </w:rPr>
      </w:pPr>
      <w:r>
        <w:rPr>
          <w:rFonts w:cs="Times New Roman"/>
          <w:color w:val="000000"/>
          <w:sz w:val="28"/>
          <w:szCs w:val="28"/>
        </w:rPr>
        <w:t>Renata Teresa Korek</w:t>
      </w:r>
    </w:p>
    <w:p w:rsidR="00D41B6D" w:rsidRDefault="00D41B6D">
      <w:pPr>
        <w:rPr>
          <w:rFonts w:cs="Times New Roman"/>
          <w:color w:val="000000"/>
          <w:sz w:val="22"/>
          <w:szCs w:val="22"/>
        </w:rPr>
      </w:pPr>
    </w:p>
    <w:p w:rsidR="00D41B6D" w:rsidRDefault="00D41B6D">
      <w:pPr>
        <w:rPr>
          <w:rFonts w:cs="Times New Roman"/>
          <w:color w:val="000000"/>
          <w:sz w:val="22"/>
          <w:szCs w:val="22"/>
        </w:rPr>
      </w:pPr>
    </w:p>
    <w:p w:rsidR="00D41B6D" w:rsidRDefault="00D41B6D">
      <w:pPr>
        <w:rPr>
          <w:rFonts w:cs="Times New Roman"/>
          <w:color w:val="000000"/>
          <w:sz w:val="22"/>
          <w:szCs w:val="22"/>
        </w:rPr>
      </w:pPr>
    </w:p>
    <w:p w:rsidR="00D41B6D" w:rsidRDefault="00D41B6D">
      <w:pPr>
        <w:jc w:val="center"/>
        <w:rPr>
          <w:rFonts w:ascii="Tahoma" w:hAnsi="Tahoma" w:cs="Tahoma"/>
          <w:b/>
          <w:bCs/>
          <w:sz w:val="28"/>
          <w:szCs w:val="28"/>
        </w:rPr>
      </w:pPr>
      <w:r>
        <w:rPr>
          <w:rFonts w:ascii="Tahoma" w:hAnsi="Tahoma" w:cs="Tahoma"/>
          <w:b/>
          <w:bCs/>
          <w:sz w:val="28"/>
          <w:szCs w:val="28"/>
        </w:rPr>
        <w:t>UZASADNIENIE</w:t>
      </w:r>
    </w:p>
    <w:p w:rsidR="00D41B6D" w:rsidRDefault="00D41B6D">
      <w:pPr>
        <w:jc w:val="center"/>
        <w:rPr>
          <w:rFonts w:ascii="Tahoma" w:hAnsi="Tahoma" w:cs="Tahoma"/>
          <w:b/>
          <w:bCs/>
          <w:sz w:val="28"/>
          <w:szCs w:val="28"/>
        </w:rPr>
      </w:pPr>
      <w:r>
        <w:rPr>
          <w:rFonts w:ascii="Tahoma" w:hAnsi="Tahoma" w:cs="Tahoma"/>
          <w:b/>
          <w:bCs/>
          <w:sz w:val="28"/>
          <w:szCs w:val="28"/>
        </w:rPr>
        <w:t>DO UCHWAŁY NR XV/107/11</w:t>
      </w:r>
    </w:p>
    <w:p w:rsidR="00D41B6D" w:rsidRDefault="00D41B6D">
      <w:pPr>
        <w:jc w:val="center"/>
        <w:rPr>
          <w:rFonts w:ascii="Tahoma" w:hAnsi="Tahoma" w:cs="Tahoma"/>
          <w:b/>
          <w:bCs/>
          <w:sz w:val="28"/>
          <w:szCs w:val="28"/>
        </w:rPr>
      </w:pPr>
      <w:r>
        <w:rPr>
          <w:rFonts w:ascii="Tahoma" w:hAnsi="Tahoma" w:cs="Tahoma"/>
          <w:b/>
          <w:bCs/>
          <w:sz w:val="28"/>
          <w:szCs w:val="28"/>
        </w:rPr>
        <w:t>RADY POWIATU</w:t>
      </w:r>
    </w:p>
    <w:p w:rsidR="00D41B6D" w:rsidRDefault="00D41B6D">
      <w:pPr>
        <w:jc w:val="center"/>
        <w:rPr>
          <w:rFonts w:ascii="Tahoma" w:hAnsi="Tahoma" w:cs="Tahoma"/>
          <w:b/>
          <w:bCs/>
          <w:sz w:val="28"/>
          <w:szCs w:val="28"/>
        </w:rPr>
      </w:pPr>
      <w:r>
        <w:rPr>
          <w:rFonts w:ascii="Tahoma" w:hAnsi="Tahoma" w:cs="Tahoma"/>
          <w:b/>
          <w:bCs/>
          <w:sz w:val="28"/>
          <w:szCs w:val="28"/>
        </w:rPr>
        <w:t>GRYFICKIEGO</w:t>
      </w:r>
    </w:p>
    <w:p w:rsidR="00D41B6D" w:rsidRDefault="00D41B6D">
      <w:pPr>
        <w:jc w:val="center"/>
        <w:rPr>
          <w:rFonts w:ascii="Tahoma" w:hAnsi="Tahoma" w:cs="Tahoma"/>
          <w:b/>
          <w:bCs/>
          <w:sz w:val="28"/>
          <w:szCs w:val="28"/>
        </w:rPr>
      </w:pPr>
      <w:r>
        <w:rPr>
          <w:rFonts w:ascii="Tahoma" w:hAnsi="Tahoma" w:cs="Tahoma"/>
          <w:b/>
          <w:bCs/>
          <w:sz w:val="28"/>
          <w:szCs w:val="28"/>
        </w:rPr>
        <w:t>z dnia 29 grudnia 2011 roku</w:t>
      </w:r>
    </w:p>
    <w:p w:rsidR="00D41B6D" w:rsidRDefault="00D41B6D">
      <w:pPr>
        <w:rPr>
          <w:rFonts w:ascii="Tahoma" w:hAnsi="Tahoma" w:cs="Tahoma"/>
          <w:b/>
          <w:bCs/>
          <w:sz w:val="28"/>
          <w:szCs w:val="28"/>
        </w:rPr>
      </w:pPr>
    </w:p>
    <w:p w:rsidR="00D41B6D" w:rsidRDefault="00D41B6D">
      <w:pPr>
        <w:rPr>
          <w:rFonts w:ascii="Tahoma" w:hAnsi="Tahoma" w:cs="Tahoma"/>
        </w:rPr>
      </w:pPr>
    </w:p>
    <w:p w:rsidR="00D41B6D" w:rsidRDefault="00D41B6D">
      <w:pPr>
        <w:rPr>
          <w:rFonts w:ascii="Tahoma" w:hAnsi="Tahoma" w:cs="Tahoma"/>
        </w:rPr>
      </w:pPr>
      <w:r>
        <w:rPr>
          <w:rFonts w:ascii="Tahoma" w:hAnsi="Tahoma" w:cs="Tahoma"/>
        </w:rPr>
        <w:t>Niniejszą uchwałą wprowadza się zmiany w Wieloletniej Prognozie Finansowej Powiatu Gryfickiego na lata 2011-2021:</w:t>
      </w:r>
    </w:p>
    <w:p w:rsidR="00D41B6D" w:rsidRDefault="00D41B6D">
      <w:pPr>
        <w:rPr>
          <w:rFonts w:ascii="Tahoma" w:hAnsi="Tahoma" w:cs="Tahoma"/>
        </w:rPr>
      </w:pPr>
    </w:p>
    <w:p w:rsidR="00D41B6D" w:rsidRDefault="00D41B6D">
      <w:pPr>
        <w:rPr>
          <w:rFonts w:ascii="Tahoma" w:hAnsi="Tahoma" w:cs="Tahoma"/>
          <w:b/>
          <w:bCs/>
        </w:rPr>
      </w:pPr>
      <w:r>
        <w:rPr>
          <w:rFonts w:ascii="Tahoma" w:hAnsi="Tahoma" w:cs="Tahoma"/>
          <w:b/>
          <w:bCs/>
        </w:rPr>
        <w:t>Załącznik nr 1 pn. „Wieloletnia prognoza Powiatu Gryfickiego na lata 2011-2021 w kolumnie” 2011 rok” wprowadza się zmiany jak niżęj:</w:t>
      </w:r>
    </w:p>
    <w:p w:rsidR="00D41B6D" w:rsidRDefault="00D41B6D">
      <w:pPr>
        <w:rPr>
          <w:rFonts w:ascii="Tahoma" w:hAnsi="Tahoma" w:cs="Tahoma"/>
          <w:b/>
          <w:bCs/>
        </w:rPr>
      </w:pPr>
      <w:r>
        <w:rPr>
          <w:rFonts w:ascii="Tahoma" w:hAnsi="Tahoma" w:cs="Tahoma"/>
          <w:b/>
          <w:bCs/>
        </w:rPr>
        <w:t>Rok 2011</w:t>
      </w:r>
    </w:p>
    <w:p w:rsidR="00D41B6D" w:rsidRDefault="00D41B6D">
      <w:pPr>
        <w:rPr>
          <w:rFonts w:ascii="Tahoma" w:hAnsi="Tahoma" w:cs="Tahoma"/>
          <w:b/>
          <w:bCs/>
        </w:rPr>
      </w:pPr>
    </w:p>
    <w:p w:rsidR="00D41B6D" w:rsidRDefault="00D41B6D">
      <w:pPr>
        <w:rPr>
          <w:rFonts w:ascii="Tahoma" w:hAnsi="Tahoma" w:cs="Tahoma"/>
        </w:rPr>
      </w:pPr>
      <w:r>
        <w:rPr>
          <w:rFonts w:ascii="Tahoma" w:hAnsi="Tahoma" w:cs="Tahoma"/>
          <w:b/>
          <w:bCs/>
        </w:rPr>
        <w:t xml:space="preserve">a) </w:t>
      </w:r>
      <w:r>
        <w:rPr>
          <w:rFonts w:ascii="Tahoma" w:hAnsi="Tahoma" w:cs="Tahoma"/>
        </w:rPr>
        <w:t xml:space="preserve">w wierszu o Lp. 1 „Dochody ogółem”   kwotę 79.727.582,22  zł, </w:t>
      </w:r>
    </w:p>
    <w:p w:rsidR="00D41B6D" w:rsidRDefault="00D41B6D">
      <w:pPr>
        <w:rPr>
          <w:rFonts w:ascii="Tahoma" w:hAnsi="Tahoma" w:cs="Tahoma"/>
        </w:rPr>
      </w:pPr>
      <w:r>
        <w:rPr>
          <w:rFonts w:ascii="Tahoma" w:hAnsi="Tahoma" w:cs="Tahoma"/>
        </w:rPr>
        <w:t xml:space="preserve">  zastępuje się  kwotą 78.154.615,66 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b)</w:t>
      </w:r>
      <w:r>
        <w:rPr>
          <w:rFonts w:ascii="Tahoma" w:hAnsi="Tahoma" w:cs="Tahoma"/>
        </w:rPr>
        <w:t xml:space="preserve"> w wierszu o Lp.1a „ dochody bieżące    kwotę 67.185.666,73   zł,</w:t>
      </w:r>
    </w:p>
    <w:p w:rsidR="00D41B6D" w:rsidRDefault="00D41B6D">
      <w:pPr>
        <w:rPr>
          <w:rFonts w:ascii="Tahoma" w:hAnsi="Tahoma" w:cs="Tahoma"/>
        </w:rPr>
      </w:pPr>
      <w:r>
        <w:rPr>
          <w:rFonts w:ascii="Tahoma" w:hAnsi="Tahoma" w:cs="Tahoma"/>
        </w:rPr>
        <w:t>zastępuje się  kwotą 67.350.787,37 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c)</w:t>
      </w:r>
      <w:r>
        <w:rPr>
          <w:rFonts w:ascii="Tahoma" w:hAnsi="Tahoma" w:cs="Tahoma"/>
        </w:rPr>
        <w:t xml:space="preserve"> </w:t>
      </w:r>
      <w:r>
        <w:rPr>
          <w:rFonts w:ascii="Tahoma" w:hAnsi="Tahoma" w:cs="Tahoma"/>
          <w:b/>
          <w:bCs/>
        </w:rPr>
        <w:t>)</w:t>
      </w:r>
      <w:r>
        <w:rPr>
          <w:rFonts w:ascii="Tahoma" w:hAnsi="Tahoma" w:cs="Tahoma"/>
        </w:rPr>
        <w:t xml:space="preserve"> w wierszu o Lp.1b „ dochody majątkowe    kwotę 12.541.915,49  zł,, zastępuje się  kwotą  10.803.828,29zł,</w:t>
      </w:r>
    </w:p>
    <w:p w:rsidR="00D41B6D" w:rsidRDefault="00D41B6D">
      <w:pPr>
        <w:rPr>
          <w:rFonts w:ascii="Tahoma" w:hAnsi="Tahoma" w:cs="Tahoma"/>
        </w:rPr>
      </w:pP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d)</w:t>
      </w:r>
      <w:r>
        <w:rPr>
          <w:rFonts w:ascii="Tahoma" w:hAnsi="Tahoma" w:cs="Tahoma"/>
        </w:rPr>
        <w:t xml:space="preserve"> w wierszu Lp. 2 „ Wydatki bieżące( bez odsetki prowizji od: kredytów i pożyczek oraz wyemitowanych papierów wartościowych) w tym:” kwotę 65.586.958,89  zł, zastępuje się kwotą 65.728.201,91 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e)</w:t>
      </w:r>
      <w:r>
        <w:rPr>
          <w:rFonts w:ascii="Tahoma" w:hAnsi="Tahoma" w:cs="Tahoma"/>
        </w:rPr>
        <w:t xml:space="preserve"> w wierszu o Lp.2e „ wydatki bieżące objęte limitem art.226 ust.4 upf”    kwotę 5.749.021,46   zł, zastępuje się  kwotą  5.643.674,96 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f</w:t>
      </w:r>
      <w:r>
        <w:rPr>
          <w:rFonts w:ascii="Tahoma" w:hAnsi="Tahoma" w:cs="Tahoma"/>
        </w:rPr>
        <w:t>) w wierszu o Lp.3 „ Wynik budżetu po wykonaniu wydatków bieżących ( bez obsługi)” kwotę 14.140.623,33     zł, zastępuje się  kwotą  12.426.413,75zł,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 xml:space="preserve">g) </w:t>
      </w:r>
      <w:r>
        <w:rPr>
          <w:rFonts w:ascii="Tahoma" w:hAnsi="Tahoma" w:cs="Tahoma"/>
        </w:rPr>
        <w:t>w wierszu o lp. 4”</w:t>
      </w:r>
      <w:r>
        <w:rPr>
          <w:rFonts w:ascii="Tahoma" w:hAnsi="Tahoma" w:cs="Tahoma"/>
          <w:b/>
          <w:bCs/>
        </w:rPr>
        <w:t xml:space="preserve"> – </w:t>
      </w:r>
      <w:r>
        <w:rPr>
          <w:rFonts w:ascii="Tahoma" w:hAnsi="Tahoma" w:cs="Tahoma"/>
        </w:rPr>
        <w:t>nadwyżka budżetowa z lat ubiegłych plus wolne środki, zgodnie z art. 217 ufp. angażowane na pokrycie deficytu budżetu roku biżącego”</w:t>
      </w:r>
    </w:p>
    <w:p w:rsidR="00D41B6D" w:rsidRDefault="00D41B6D">
      <w:pPr>
        <w:rPr>
          <w:rFonts w:ascii="Tahoma" w:hAnsi="Tahoma" w:cs="Tahoma"/>
        </w:rPr>
      </w:pPr>
      <w:r>
        <w:rPr>
          <w:rFonts w:ascii="Tahoma" w:hAnsi="Tahoma" w:cs="Tahoma"/>
        </w:rPr>
        <w:t>kwotę 773.994,24 zł. zastępuje się kwotą  543.894,28 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h</w:t>
      </w:r>
      <w:r>
        <w:rPr>
          <w:rFonts w:ascii="Tahoma" w:hAnsi="Tahoma" w:cs="Tahoma"/>
        </w:rPr>
        <w:t>) w wierszu o Lp. 6. „ Środki do dyspozycji(3+4+5)” kwotę 19.146.043,13  zł,</w:t>
      </w:r>
    </w:p>
    <w:p w:rsidR="00D41B6D" w:rsidRDefault="00D41B6D">
      <w:pPr>
        <w:rPr>
          <w:rFonts w:ascii="Tahoma" w:hAnsi="Tahoma" w:cs="Tahoma"/>
        </w:rPr>
      </w:pPr>
      <w:r>
        <w:rPr>
          <w:rFonts w:ascii="Tahoma" w:hAnsi="Tahoma" w:cs="Tahoma"/>
        </w:rPr>
        <w:t xml:space="preserve"> zł, zastępuje się  kwotą  17.431.833,55 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i</w:t>
      </w:r>
      <w:r>
        <w:rPr>
          <w:rFonts w:ascii="Tahoma" w:hAnsi="Tahoma" w:cs="Tahoma"/>
        </w:rPr>
        <w:t>) w wierszu o Lp. 9. „ Środki do dyspozycji(6-7-8)” kwotę 15.951.734,73   zł,</w:t>
      </w:r>
    </w:p>
    <w:p w:rsidR="00D41B6D" w:rsidRDefault="00D41B6D">
      <w:pPr>
        <w:rPr>
          <w:rFonts w:ascii="Tahoma" w:hAnsi="Tahoma" w:cs="Tahoma"/>
        </w:rPr>
      </w:pPr>
      <w:r>
        <w:rPr>
          <w:rFonts w:ascii="Tahoma" w:hAnsi="Tahoma" w:cs="Tahoma"/>
        </w:rPr>
        <w:t>, zastępuje się  kwotą 14.237.525,15 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j</w:t>
      </w:r>
      <w:r>
        <w:rPr>
          <w:rFonts w:ascii="Tahoma" w:hAnsi="Tahoma" w:cs="Tahoma"/>
        </w:rPr>
        <w:t>)w wierszu o Lp.10 „ wydatki majątkowe )” kwotę 21.720.316,54 zł zastępuje się  kwotą  19.766.002,00zł,</w:t>
      </w:r>
    </w:p>
    <w:p w:rsidR="00D41B6D" w:rsidRDefault="00D41B6D">
      <w:pPr>
        <w:rPr>
          <w:rFonts w:ascii="Tahoma" w:hAnsi="Tahoma" w:cs="Tahoma"/>
        </w:rPr>
      </w:pP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k)</w:t>
      </w:r>
      <w:r>
        <w:rPr>
          <w:rFonts w:ascii="Tahoma" w:hAnsi="Tahoma" w:cs="Tahoma"/>
        </w:rPr>
        <w:t xml:space="preserve"> w wierszu o Lp.10a „ wydatki majątkowe objęte limitem art.226 ust.4 upf)” kwotę 20.202.997,85      zł zastępuje się  kwotą  18.263.394,31zł,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l)</w:t>
      </w:r>
      <w:r>
        <w:rPr>
          <w:rFonts w:ascii="Tahoma" w:hAnsi="Tahoma" w:cs="Tahoma"/>
        </w:rPr>
        <w:t xml:space="preserve"> w wierszu Olp.12 „ wynik  finansowy” kwotę 4.231.418,19 zł , zastępuje się kwotą 4.471.523,15 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m)</w:t>
      </w:r>
      <w:r>
        <w:rPr>
          <w:rFonts w:ascii="Tahoma" w:hAnsi="Tahoma" w:cs="Tahoma"/>
        </w:rPr>
        <w:t xml:space="preserve"> w wierszu o Lp.19 „ Wydatki bieżące razem” kwotę 65.980.108,89  zł,, zastępuje się  kwotą  66.121.351,91 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n</w:t>
      </w:r>
      <w:r>
        <w:rPr>
          <w:rFonts w:ascii="Tahoma" w:hAnsi="Tahoma" w:cs="Tahoma"/>
        </w:rPr>
        <w:t>) w wierszu o Lp.20 „ Wydatki ogółem” kwotę 87.700.425,43  zł, zastępuje się  kwotą  85.887.353,91zł,</w:t>
      </w:r>
    </w:p>
    <w:p w:rsidR="00D41B6D" w:rsidRDefault="00D41B6D">
      <w:pPr>
        <w:rPr>
          <w:rFonts w:ascii="Tahoma" w:hAnsi="Tahoma" w:cs="Tahoma"/>
        </w:rPr>
      </w:pPr>
    </w:p>
    <w:p w:rsidR="00D41B6D" w:rsidRDefault="00D41B6D">
      <w:pPr>
        <w:rPr>
          <w:rFonts w:ascii="Tahoma" w:hAnsi="Tahoma" w:cs="Tahoma"/>
        </w:rPr>
      </w:pPr>
      <w:r>
        <w:rPr>
          <w:rFonts w:ascii="Tahoma" w:hAnsi="Tahoma" w:cs="Tahoma"/>
          <w:b/>
          <w:bCs/>
        </w:rPr>
        <w:t>o)</w:t>
      </w:r>
      <w:r>
        <w:rPr>
          <w:rFonts w:ascii="Tahoma" w:hAnsi="Tahoma" w:cs="Tahoma"/>
        </w:rPr>
        <w:t xml:space="preserve"> w wierszu o Lp.21. „Wynik budżetu” kwotę - 7,972.843,21  zł, zastępuje się  kwotą  - 7.742.743,25 zł,</w:t>
      </w:r>
    </w:p>
    <w:p w:rsidR="00D41B6D" w:rsidRDefault="00D41B6D">
      <w:pPr>
        <w:rPr>
          <w:rFonts w:ascii="Tahoma" w:hAnsi="Tahoma" w:cs="Tahoma"/>
        </w:rPr>
      </w:pPr>
    </w:p>
    <w:p w:rsidR="00D41B6D" w:rsidRDefault="00D41B6D">
      <w:pPr>
        <w:rPr>
          <w:rFonts w:ascii="Tahoma" w:hAnsi="Tahoma" w:cs="Tahoma"/>
        </w:rPr>
      </w:pPr>
    </w:p>
    <w:p w:rsidR="00D41B6D" w:rsidRDefault="00D41B6D">
      <w:pPr>
        <w:rPr>
          <w:rFonts w:ascii="Tahoma" w:hAnsi="Tahoma" w:cs="Tahoma"/>
          <w:b/>
          <w:bCs/>
        </w:rPr>
      </w:pPr>
      <w:r>
        <w:rPr>
          <w:rFonts w:ascii="Tahoma" w:hAnsi="Tahoma" w:cs="Tahoma"/>
          <w:b/>
          <w:bCs/>
        </w:rPr>
        <w:t>Załącznik Nr  2 „Planowane i realizowane przedsięwzięcia Powiatu Gryfickiego w latach 2011-2021” wprowadza się zmiany jak niżej:</w:t>
      </w:r>
    </w:p>
    <w:p w:rsidR="00D41B6D" w:rsidRDefault="00D41B6D">
      <w:pPr>
        <w:rPr>
          <w:rFonts w:ascii="Tahoma" w:hAnsi="Tahoma" w:cs="Tahoma"/>
          <w:b/>
          <w:bCs/>
        </w:rPr>
      </w:pPr>
      <w:r>
        <w:rPr>
          <w:rFonts w:ascii="Tahoma" w:hAnsi="Tahoma" w:cs="Tahoma"/>
          <w:b/>
          <w:bCs/>
        </w:rPr>
        <w:t xml:space="preserve"> Rok  2011</w:t>
      </w:r>
    </w:p>
    <w:p w:rsidR="00D41B6D" w:rsidRDefault="00D41B6D">
      <w:pPr>
        <w:rPr>
          <w:rFonts w:ascii="Tahoma" w:hAnsi="Tahoma" w:cs="Tahoma"/>
          <w:b/>
          <w:bCs/>
        </w:rPr>
      </w:pPr>
    </w:p>
    <w:p w:rsidR="00D41B6D" w:rsidRDefault="00D41B6D">
      <w:pPr>
        <w:rPr>
          <w:rFonts w:ascii="Tahoma" w:hAnsi="Tahoma" w:cs="Tahoma"/>
          <w:b/>
          <w:bCs/>
        </w:rPr>
      </w:pPr>
      <w:r>
        <w:rPr>
          <w:rFonts w:ascii="Tahoma" w:hAnsi="Tahoma" w:cs="Tahoma"/>
          <w:b/>
          <w:bCs/>
        </w:rPr>
        <w:t>a) Programy, projekty lub zadania związane z programami realizowanymi z udziałem  środków, o których mowa w art.5 ust.1 pkt 2 i 3,</w:t>
      </w:r>
    </w:p>
    <w:p w:rsidR="00D41B6D" w:rsidRDefault="00D41B6D">
      <w:pPr>
        <w:rPr>
          <w:rFonts w:ascii="Tahoma" w:hAnsi="Tahoma" w:cs="Tahoma"/>
          <w:b/>
          <w:bCs/>
        </w:rPr>
      </w:pPr>
    </w:p>
    <w:p w:rsidR="00D41B6D" w:rsidRDefault="00D41B6D">
      <w:pPr>
        <w:rPr>
          <w:rFonts w:ascii="Tahoma" w:hAnsi="Tahoma" w:cs="Tahoma"/>
        </w:rPr>
      </w:pPr>
      <w:r>
        <w:rPr>
          <w:rFonts w:ascii="Tahoma" w:hAnsi="Tahoma" w:cs="Tahoma"/>
          <w:b/>
          <w:bCs/>
        </w:rPr>
        <w:t xml:space="preserve"> </w:t>
      </w:r>
      <w:r>
        <w:rPr>
          <w:rFonts w:ascii="Tahoma" w:hAnsi="Tahoma" w:cs="Tahoma"/>
        </w:rPr>
        <w:t>W wierszu „RPO „ Budowa ścieżki  rowerowej wraz z infrastrukturą towarzyszącą na trasie Pogorzelica – Mrzeżyno kwotę wydatków bieżących 116.000,00 zł , zastępuje się kwotą 3.320,50 zł. kwotę wydatków majątkowych 1.931.494,44 zastępuje się kwotą 0.10 zł,i inwestycja będzie realizowana w 2012 roku.</w:t>
      </w:r>
    </w:p>
    <w:p w:rsidR="00D41B6D" w:rsidRDefault="00D41B6D">
      <w:pPr>
        <w:rPr>
          <w:rFonts w:ascii="Tahoma" w:hAnsi="Tahoma" w:cs="Tahoma"/>
        </w:rPr>
      </w:pPr>
    </w:p>
    <w:p w:rsidR="00D41B6D" w:rsidRDefault="00D41B6D">
      <w:pPr>
        <w:rPr>
          <w:rFonts w:ascii="Tahoma" w:hAnsi="Tahoma" w:cs="Tahoma"/>
        </w:rPr>
      </w:pPr>
      <w:r>
        <w:rPr>
          <w:rFonts w:ascii="Tahoma" w:hAnsi="Tahoma" w:cs="Tahoma"/>
        </w:rPr>
        <w:t>W wierszu „ POKAL Podnosimy kompetencje” kwotę wydatków bieżących 268.098,03 zastępuje się kwotą 275.431,03 zł, kwotę wydatków majątkowych 7.333,00 zł, zastępuje się kwotą 0,00 zł,</w:t>
      </w:r>
    </w:p>
    <w:p w:rsidR="00D41B6D" w:rsidRDefault="00D41B6D">
      <w:pPr>
        <w:rPr>
          <w:rFonts w:ascii="Tahoma" w:hAnsi="Tahoma" w:cs="Tahoma"/>
        </w:rPr>
      </w:pPr>
    </w:p>
    <w:p w:rsidR="00D41B6D" w:rsidRDefault="00D41B6D">
      <w:pPr>
        <w:rPr>
          <w:rFonts w:ascii="Tahoma" w:hAnsi="Tahoma" w:cs="Tahoma"/>
          <w:b/>
          <w:bCs/>
        </w:rPr>
      </w:pPr>
      <w:r>
        <w:rPr>
          <w:rFonts w:ascii="Tahoma" w:hAnsi="Tahoma" w:cs="Tahoma"/>
          <w:b/>
          <w:bCs/>
        </w:rPr>
        <w:t>c)  Programy, projekty lub zadania pozostałe (inne niż wymienione w lit.. a i b) (razem)</w:t>
      </w:r>
    </w:p>
    <w:p w:rsidR="00D41B6D" w:rsidRDefault="00D41B6D">
      <w:pPr>
        <w:rPr>
          <w:rFonts w:ascii="Tahoma" w:hAnsi="Tahoma" w:cs="Tahoma"/>
          <w:b/>
          <w:bCs/>
        </w:rPr>
      </w:pPr>
    </w:p>
    <w:p w:rsidR="00D41B6D" w:rsidRDefault="00D41B6D">
      <w:pPr>
        <w:numPr>
          <w:ilvl w:val="0"/>
          <w:numId w:val="48"/>
        </w:numPr>
        <w:rPr>
          <w:rFonts w:ascii="Tahoma" w:hAnsi="Tahoma" w:cs="Tahoma"/>
        </w:rPr>
      </w:pPr>
      <w:r>
        <w:rPr>
          <w:rFonts w:ascii="Tahoma" w:hAnsi="Tahoma" w:cs="Tahoma"/>
        </w:rPr>
        <w:t>w wierszu” Remont odcinka drogi powiatowej Nr 0136Z ul.Dąbskiego oraz Nr 0208Z ul.Sportowa w m. Gryfice  kwotę wydatków majątkowych  w 2011 roku  4.793.772,83 zł zastąpiono kwotą 4.792.996,63 zł,</w:t>
      </w:r>
    </w:p>
    <w:p w:rsidR="00D41B6D" w:rsidRDefault="00D41B6D">
      <w:pPr>
        <w:ind w:left="360"/>
        <w:rPr>
          <w:rFonts w:ascii="Tahoma" w:hAnsi="Tahoma" w:cs="Tahoma"/>
        </w:rPr>
      </w:pPr>
    </w:p>
    <w:p w:rsidR="00D41B6D" w:rsidRDefault="00D41B6D">
      <w:pPr>
        <w:rPr>
          <w:rFonts w:ascii="Tahoma" w:hAnsi="Tahoma" w:cs="Tahoma"/>
          <w:b/>
          <w:bCs/>
        </w:rPr>
      </w:pPr>
      <w:r>
        <w:rPr>
          <w:rFonts w:ascii="Tahoma" w:hAnsi="Tahoma" w:cs="Tahoma"/>
          <w:b/>
          <w:bCs/>
        </w:rPr>
        <w:t xml:space="preserve">   </w:t>
      </w:r>
    </w:p>
    <w:p w:rsidR="00D41B6D" w:rsidRDefault="00D41B6D">
      <w:pPr>
        <w:rPr>
          <w:rFonts w:ascii="Tahoma" w:hAnsi="Tahoma" w:cs="Tahoma"/>
          <w:b/>
          <w:bCs/>
        </w:rPr>
      </w:pPr>
    </w:p>
    <w:p w:rsidR="00D41B6D" w:rsidRDefault="00D41B6D">
      <w:pPr>
        <w:ind w:left="360"/>
        <w:rPr>
          <w:rFonts w:ascii="Tahoma" w:hAnsi="Tahoma" w:cs="Tahoma"/>
          <w:b/>
          <w:bCs/>
        </w:rPr>
      </w:pPr>
    </w:p>
    <w:p w:rsidR="00D41B6D" w:rsidRDefault="00D41B6D">
      <w:pPr>
        <w:rPr>
          <w:rFonts w:cs="Times New Roman"/>
          <w:color w:val="000000"/>
          <w:sz w:val="22"/>
          <w:szCs w:val="22"/>
        </w:rPr>
      </w:pPr>
    </w:p>
    <w:sectPr w:rsidR="00D41B6D" w:rsidSect="00D41B6D">
      <w:headerReference w:type="even" r:id="rId7"/>
      <w:headerReference w:type="default" r:id="rId8"/>
      <w:pgSz w:w="11906" w:h="16838" w:code="9"/>
      <w:pgMar w:top="1134" w:right="851"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B6D" w:rsidRDefault="00D41B6D">
      <w:pPr>
        <w:rPr>
          <w:rFonts w:cs="Times New Roman"/>
        </w:rPr>
      </w:pPr>
      <w:r>
        <w:rPr>
          <w:rFonts w:cs="Times New Roman"/>
        </w:rPr>
        <w:separator/>
      </w:r>
    </w:p>
  </w:endnote>
  <w:endnote w:type="continuationSeparator" w:id="0">
    <w:p w:rsidR="00D41B6D" w:rsidRDefault="00D41B6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B6D" w:rsidRDefault="00D41B6D">
      <w:pPr>
        <w:rPr>
          <w:rFonts w:cs="Times New Roman"/>
        </w:rPr>
      </w:pPr>
      <w:r>
        <w:rPr>
          <w:rFonts w:cs="Times New Roman"/>
        </w:rPr>
        <w:separator/>
      </w:r>
    </w:p>
  </w:footnote>
  <w:footnote w:type="continuationSeparator" w:id="0">
    <w:p w:rsidR="00D41B6D" w:rsidRDefault="00D41B6D">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B6D" w:rsidRDefault="00D41B6D">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2</w:t>
    </w:r>
    <w:r>
      <w:rPr>
        <w:rStyle w:val="PageNumber"/>
        <w:sz w:val="26"/>
        <w:szCs w:val="26"/>
      </w:rPr>
      <w:fldChar w:fldCharType="end"/>
    </w:r>
  </w:p>
  <w:p w:rsidR="00D41B6D" w:rsidRDefault="00D41B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B6D" w:rsidRDefault="00D41B6D">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3</w:t>
    </w:r>
    <w:r>
      <w:rPr>
        <w:rStyle w:val="PageNumber"/>
        <w:sz w:val="26"/>
        <w:szCs w:val="26"/>
      </w:rPr>
      <w:fldChar w:fldCharType="end"/>
    </w:r>
  </w:p>
  <w:p w:rsidR="00D41B6D" w:rsidRDefault="00D41B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8B"/>
    <w:multiLevelType w:val="hybridMultilevel"/>
    <w:tmpl w:val="165C48E4"/>
    <w:lvl w:ilvl="0" w:tplc="D14C116A">
      <w:start w:val="1"/>
      <w:numFmt w:val="decimal"/>
      <w:lvlText w:val="%1)"/>
      <w:lvlJc w:val="left"/>
      <w:pPr>
        <w:ind w:left="644" w:hanging="360"/>
      </w:pPr>
      <w:rPr>
        <w:rFonts w:ascii="Times New Roman" w:eastAsia="Times New Roman" w:hAnsi="Times New Roman"/>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
    <w:nsid w:val="0B5E3408"/>
    <w:multiLevelType w:val="hybridMultilevel"/>
    <w:tmpl w:val="B2D63F68"/>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2">
    <w:nsid w:val="0DA06D9B"/>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E5D2C67"/>
    <w:multiLevelType w:val="hybridMultilevel"/>
    <w:tmpl w:val="46AC88A6"/>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4">
    <w:nsid w:val="10177D8D"/>
    <w:multiLevelType w:val="hybridMultilevel"/>
    <w:tmpl w:val="D874631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12C23F7F"/>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12D9518A"/>
    <w:multiLevelType w:val="hybridMultilevel"/>
    <w:tmpl w:val="E116AD0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181F1B63"/>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1AF67DAD"/>
    <w:multiLevelType w:val="hybridMultilevel"/>
    <w:tmpl w:val="76E8FCF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1E9D242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F246A47"/>
    <w:multiLevelType w:val="hybridMultilevel"/>
    <w:tmpl w:val="E50CAC7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1F9F554D"/>
    <w:multiLevelType w:val="hybridMultilevel"/>
    <w:tmpl w:val="60BC9BC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73836E2"/>
    <w:multiLevelType w:val="hybridMultilevel"/>
    <w:tmpl w:val="5776B09E"/>
    <w:lvl w:ilvl="0" w:tplc="A5BEDE4C">
      <w:start w:val="1"/>
      <w:numFmt w:val="lowerLetter"/>
      <w:lvlText w:val="%1."/>
      <w:lvlJc w:val="left"/>
      <w:pPr>
        <w:tabs>
          <w:tab w:val="num" w:pos="360"/>
        </w:tabs>
        <w:ind w:left="360" w:hanging="360"/>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31362EC1"/>
    <w:multiLevelType w:val="hybridMultilevel"/>
    <w:tmpl w:val="D8CA5F6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326E60D3"/>
    <w:multiLevelType w:val="hybridMultilevel"/>
    <w:tmpl w:val="0566994C"/>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36034724"/>
    <w:multiLevelType w:val="hybridMultilevel"/>
    <w:tmpl w:val="6838BB50"/>
    <w:lvl w:ilvl="0" w:tplc="ECD8CDB6">
      <w:start w:val="1"/>
      <w:numFmt w:val="decimal"/>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36BC149E"/>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3B4C0F57"/>
    <w:multiLevelType w:val="hybridMultilevel"/>
    <w:tmpl w:val="C204B1E0"/>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3F2F30CF"/>
    <w:multiLevelType w:val="hybridMultilevel"/>
    <w:tmpl w:val="41EE985C"/>
    <w:lvl w:ilvl="0" w:tplc="0415000F">
      <w:start w:val="1"/>
      <w:numFmt w:val="decimal"/>
      <w:lvlText w:val="%1."/>
      <w:lvlJc w:val="left"/>
      <w:pPr>
        <w:tabs>
          <w:tab w:val="num" w:pos="1429"/>
        </w:tabs>
        <w:ind w:left="1429" w:hanging="360"/>
      </w:pPr>
      <w:rPr>
        <w:rFonts w:ascii="Times New Roman" w:hAnsi="Times New Roman" w:cs="Times New Roman"/>
      </w:rPr>
    </w:lvl>
    <w:lvl w:ilvl="1" w:tplc="04150019">
      <w:start w:val="1"/>
      <w:numFmt w:val="lowerLetter"/>
      <w:lvlText w:val="%2."/>
      <w:lvlJc w:val="left"/>
      <w:pPr>
        <w:tabs>
          <w:tab w:val="num" w:pos="2149"/>
        </w:tabs>
        <w:ind w:left="2149" w:hanging="360"/>
      </w:pPr>
      <w:rPr>
        <w:rFonts w:ascii="Times New Roman" w:hAnsi="Times New Roman" w:cs="Times New Roman"/>
      </w:rPr>
    </w:lvl>
    <w:lvl w:ilvl="2" w:tplc="0415001B">
      <w:start w:val="1"/>
      <w:numFmt w:val="lowerRoman"/>
      <w:lvlText w:val="%3."/>
      <w:lvlJc w:val="right"/>
      <w:pPr>
        <w:tabs>
          <w:tab w:val="num" w:pos="2869"/>
        </w:tabs>
        <w:ind w:left="2869" w:hanging="180"/>
      </w:pPr>
      <w:rPr>
        <w:rFonts w:ascii="Times New Roman" w:hAnsi="Times New Roman" w:cs="Times New Roman"/>
      </w:rPr>
    </w:lvl>
    <w:lvl w:ilvl="3" w:tplc="0415000F">
      <w:start w:val="1"/>
      <w:numFmt w:val="decimal"/>
      <w:lvlText w:val="%4."/>
      <w:lvlJc w:val="left"/>
      <w:pPr>
        <w:tabs>
          <w:tab w:val="num" w:pos="3589"/>
        </w:tabs>
        <w:ind w:left="3589" w:hanging="360"/>
      </w:pPr>
      <w:rPr>
        <w:rFonts w:ascii="Times New Roman" w:hAnsi="Times New Roman" w:cs="Times New Roman"/>
      </w:rPr>
    </w:lvl>
    <w:lvl w:ilvl="4" w:tplc="04150019">
      <w:start w:val="1"/>
      <w:numFmt w:val="lowerLetter"/>
      <w:lvlText w:val="%5."/>
      <w:lvlJc w:val="left"/>
      <w:pPr>
        <w:tabs>
          <w:tab w:val="num" w:pos="4309"/>
        </w:tabs>
        <w:ind w:left="4309" w:hanging="360"/>
      </w:pPr>
      <w:rPr>
        <w:rFonts w:ascii="Times New Roman" w:hAnsi="Times New Roman" w:cs="Times New Roman"/>
      </w:rPr>
    </w:lvl>
    <w:lvl w:ilvl="5" w:tplc="0415001B">
      <w:start w:val="1"/>
      <w:numFmt w:val="lowerRoman"/>
      <w:lvlText w:val="%6."/>
      <w:lvlJc w:val="right"/>
      <w:pPr>
        <w:tabs>
          <w:tab w:val="num" w:pos="5029"/>
        </w:tabs>
        <w:ind w:left="5029" w:hanging="180"/>
      </w:pPr>
      <w:rPr>
        <w:rFonts w:ascii="Times New Roman" w:hAnsi="Times New Roman" w:cs="Times New Roman"/>
      </w:rPr>
    </w:lvl>
    <w:lvl w:ilvl="6" w:tplc="0415000F">
      <w:start w:val="1"/>
      <w:numFmt w:val="decimal"/>
      <w:lvlText w:val="%7."/>
      <w:lvlJc w:val="left"/>
      <w:pPr>
        <w:tabs>
          <w:tab w:val="num" w:pos="5749"/>
        </w:tabs>
        <w:ind w:left="5749" w:hanging="360"/>
      </w:pPr>
      <w:rPr>
        <w:rFonts w:ascii="Times New Roman" w:hAnsi="Times New Roman" w:cs="Times New Roman"/>
      </w:rPr>
    </w:lvl>
    <w:lvl w:ilvl="7" w:tplc="04150019">
      <w:start w:val="1"/>
      <w:numFmt w:val="lowerLetter"/>
      <w:lvlText w:val="%8."/>
      <w:lvlJc w:val="left"/>
      <w:pPr>
        <w:tabs>
          <w:tab w:val="num" w:pos="6469"/>
        </w:tabs>
        <w:ind w:left="6469" w:hanging="360"/>
      </w:pPr>
      <w:rPr>
        <w:rFonts w:ascii="Times New Roman" w:hAnsi="Times New Roman" w:cs="Times New Roman"/>
      </w:rPr>
    </w:lvl>
    <w:lvl w:ilvl="8" w:tplc="0415001B">
      <w:start w:val="1"/>
      <w:numFmt w:val="lowerRoman"/>
      <w:lvlText w:val="%9."/>
      <w:lvlJc w:val="right"/>
      <w:pPr>
        <w:tabs>
          <w:tab w:val="num" w:pos="7189"/>
        </w:tabs>
        <w:ind w:left="7189" w:hanging="180"/>
      </w:pPr>
      <w:rPr>
        <w:rFonts w:ascii="Times New Roman" w:hAnsi="Times New Roman" w:cs="Times New Roman"/>
      </w:rPr>
    </w:lvl>
  </w:abstractNum>
  <w:abstractNum w:abstractNumId="19">
    <w:nsid w:val="400379E2"/>
    <w:multiLevelType w:val="hybridMultilevel"/>
    <w:tmpl w:val="6856428E"/>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nsid w:val="4751427C"/>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1">
    <w:nsid w:val="491B4BB5"/>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2">
    <w:nsid w:val="4BDC0504"/>
    <w:multiLevelType w:val="hybridMultilevel"/>
    <w:tmpl w:val="25C660D6"/>
    <w:lvl w:ilvl="0" w:tplc="CE2271F8">
      <w:start w:val="3"/>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nsid w:val="4BF83C3E"/>
    <w:multiLevelType w:val="hybridMultilevel"/>
    <w:tmpl w:val="8B745F28"/>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508A1419"/>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52072933"/>
    <w:multiLevelType w:val="hybridMultilevel"/>
    <w:tmpl w:val="FF527690"/>
    <w:lvl w:ilvl="0" w:tplc="D14A90A2">
      <w:start w:val="1"/>
      <w:numFmt w:val="lowerLetter"/>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52C470A7"/>
    <w:multiLevelType w:val="hybridMultilevel"/>
    <w:tmpl w:val="5D5ABDE0"/>
    <w:lvl w:ilvl="0" w:tplc="F5F8DF1C">
      <w:start w:val="1"/>
      <w:numFmt w:val="lowerLetter"/>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4A33C80"/>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59B668AB"/>
    <w:multiLevelType w:val="hybridMultilevel"/>
    <w:tmpl w:val="D18EB790"/>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nsid w:val="59DF0A5A"/>
    <w:multiLevelType w:val="hybridMultilevel"/>
    <w:tmpl w:val="45FA1C52"/>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5AF8368A"/>
    <w:multiLevelType w:val="hybridMultilevel"/>
    <w:tmpl w:val="E3AA7A4C"/>
    <w:lvl w:ilvl="0" w:tplc="4AB46DAC">
      <w:start w:val="1"/>
      <w:numFmt w:val="lowerLetter"/>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5C114A1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nsid w:val="5DEC7449"/>
    <w:multiLevelType w:val="hybridMultilevel"/>
    <w:tmpl w:val="E084AD74"/>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3">
    <w:nsid w:val="63726032"/>
    <w:multiLevelType w:val="hybridMultilevel"/>
    <w:tmpl w:val="3E5467C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4">
    <w:nsid w:val="65A826FB"/>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5">
    <w:nsid w:val="66034868"/>
    <w:multiLevelType w:val="hybridMultilevel"/>
    <w:tmpl w:val="82BA9640"/>
    <w:lvl w:ilvl="0" w:tplc="C48EED70">
      <w:start w:val="6"/>
      <w:numFmt w:val="lowerLetter"/>
      <w:lvlText w:val="%1)"/>
      <w:lvlJc w:val="left"/>
      <w:pPr>
        <w:tabs>
          <w:tab w:val="num" w:pos="720"/>
        </w:tabs>
        <w:ind w:left="720" w:hanging="360"/>
      </w:pPr>
      <w:rPr>
        <w:rFonts w:ascii="Arial" w:hAnsi="Arial" w:cs="Arial"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nsid w:val="6B783A35"/>
    <w:multiLevelType w:val="hybridMultilevel"/>
    <w:tmpl w:val="8A72BF5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7">
    <w:nsid w:val="6BD06414"/>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8">
    <w:nsid w:val="6C097464"/>
    <w:multiLevelType w:val="hybridMultilevel"/>
    <w:tmpl w:val="F5903062"/>
    <w:lvl w:ilvl="0" w:tplc="9618BF00">
      <w:start w:val="4"/>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9">
    <w:nsid w:val="6C1C33ED"/>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0">
    <w:nsid w:val="6D785738"/>
    <w:multiLevelType w:val="hybridMultilevel"/>
    <w:tmpl w:val="694C14E4"/>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nsid w:val="6E6D0BC6"/>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2">
    <w:nsid w:val="6F317A08"/>
    <w:multiLevelType w:val="hybridMultilevel"/>
    <w:tmpl w:val="4710A5A0"/>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72951FA9"/>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9B60627"/>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5">
    <w:nsid w:val="7F0525D8"/>
    <w:multiLevelType w:val="hybridMultilevel"/>
    <w:tmpl w:val="19E820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num w:numId="1">
    <w:abstractNumId w:val="39"/>
  </w:num>
  <w:num w:numId="2">
    <w:abstractNumId w:val="33"/>
  </w:num>
  <w:num w:numId="3">
    <w:abstractNumId w:val="24"/>
  </w:num>
  <w:num w:numId="4">
    <w:abstractNumId w:val="36"/>
  </w:num>
  <w:num w:numId="5">
    <w:abstractNumId w:val="31"/>
  </w:num>
  <w:num w:numId="6">
    <w:abstractNumId w:val="10"/>
  </w:num>
  <w:num w:numId="7">
    <w:abstractNumId w:val="20"/>
  </w:num>
  <w:num w:numId="8">
    <w:abstractNumId w:val="11"/>
  </w:num>
  <w:num w:numId="9">
    <w:abstractNumId w:val="44"/>
  </w:num>
  <w:num w:numId="10">
    <w:abstractNumId w:val="29"/>
  </w:num>
  <w:num w:numId="11">
    <w:abstractNumId w:val="6"/>
  </w:num>
  <w:num w:numId="12">
    <w:abstractNumId w:val="32"/>
  </w:num>
  <w:num w:numId="13">
    <w:abstractNumId w:val="45"/>
  </w:num>
  <w:num w:numId="14">
    <w:abstractNumId w:val="4"/>
  </w:num>
  <w:num w:numId="15">
    <w:abstractNumId w:val="8"/>
  </w:num>
  <w:num w:numId="16">
    <w:abstractNumId w:val="12"/>
  </w:num>
  <w:num w:numId="17">
    <w:abstractNumId w:val="2"/>
  </w:num>
  <w:num w:numId="18">
    <w:abstractNumId w:val="7"/>
  </w:num>
  <w:num w:numId="19">
    <w:abstractNumId w:val="21"/>
  </w:num>
  <w:num w:numId="20">
    <w:abstractNumId w:val="34"/>
  </w:num>
  <w:num w:numId="21">
    <w:abstractNumId w:val="3"/>
  </w:num>
  <w:num w:numId="22">
    <w:abstractNumId w:val="1"/>
  </w:num>
  <w:num w:numId="23">
    <w:abstractNumId w:val="37"/>
  </w:num>
  <w:num w:numId="24">
    <w:abstractNumId w:val="5"/>
  </w:num>
  <w:num w:numId="25">
    <w:abstractNumId w:val="41"/>
  </w:num>
  <w:num w:numId="26">
    <w:abstractNumId w:val="16"/>
  </w:num>
  <w:num w:numId="27">
    <w:abstractNumId w:val="9"/>
  </w:num>
  <w:num w:numId="28">
    <w:abstractNumId w:val="27"/>
  </w:num>
  <w:num w:numId="29">
    <w:abstractNumId w:val="22"/>
  </w:num>
  <w:num w:numId="30">
    <w:abstractNumId w:val="38"/>
  </w:num>
  <w:num w:numId="31">
    <w:abstractNumId w:val="0"/>
  </w:num>
  <w:num w:numId="32">
    <w:abstractNumId w:val="18"/>
  </w:num>
  <w:num w:numId="33">
    <w:abstractNumId w:val="15"/>
  </w:num>
  <w:num w:numId="34">
    <w:abstractNumId w:val="43"/>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5">
    <w:abstractNumId w:val="43"/>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6">
    <w:abstractNumId w:val="43"/>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37">
    <w:abstractNumId w:val="13"/>
  </w:num>
  <w:num w:numId="38">
    <w:abstractNumId w:val="42"/>
  </w:num>
  <w:num w:numId="39">
    <w:abstractNumId w:val="17"/>
  </w:num>
  <w:num w:numId="40">
    <w:abstractNumId w:val="25"/>
  </w:num>
  <w:num w:numId="41">
    <w:abstractNumId w:val="28"/>
  </w:num>
  <w:num w:numId="42">
    <w:abstractNumId w:val="23"/>
  </w:num>
  <w:num w:numId="43">
    <w:abstractNumId w:val="40"/>
  </w:num>
  <w:num w:numId="44">
    <w:abstractNumId w:val="35"/>
  </w:num>
  <w:num w:numId="45">
    <w:abstractNumId w:val="26"/>
  </w:num>
  <w:num w:numId="46">
    <w:abstractNumId w:val="14"/>
  </w:num>
  <w:num w:numId="47">
    <w:abstractNumId w:val="19"/>
  </w:num>
  <w:num w:numId="4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mirrorMargins/>
  <w:defaultTabStop w:val="709"/>
  <w:autoHyphenation/>
  <w:hyphenationZone w:val="142"/>
  <w:doNotHyphenateCaps/>
  <w:evenAndOddHeaders/>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1B6D"/>
    <w:rsid w:val="00D41B6D"/>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envelope address" w:unhideWhenUsed="0"/>
    <w:lsdException w:name="envelope return" w:unhideWhenUsed="0"/>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Indent 2" w:unhideWhenUsed="0"/>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0"/>
      <w:szCs w:val="20"/>
    </w:rPr>
  </w:style>
  <w:style w:type="paragraph" w:styleId="Heading1">
    <w:name w:val="heading 1"/>
    <w:basedOn w:val="Normal"/>
    <w:next w:val="Normal"/>
    <w:link w:val="Heading1Char"/>
    <w:autoRedefine/>
    <w:uiPriority w:val="99"/>
    <w:qFormat/>
    <w:pPr>
      <w:keepNext/>
      <w:spacing w:before="360" w:after="360"/>
      <w:outlineLvl w:val="0"/>
    </w:pPr>
    <w:rPr>
      <w:rFonts w:ascii="Arial" w:hAnsi="Arial" w:cs="Arial"/>
      <w:b/>
      <w:bCs/>
      <w:kern w:val="32"/>
      <w:sz w:val="40"/>
      <w:szCs w:val="40"/>
    </w:rPr>
  </w:style>
  <w:style w:type="paragraph" w:styleId="Heading2">
    <w:name w:val="heading 2"/>
    <w:basedOn w:val="Normal"/>
    <w:next w:val="Normal"/>
    <w:link w:val="Heading2Char"/>
    <w:autoRedefine/>
    <w:uiPriority w:val="99"/>
    <w:qFormat/>
    <w:pPr>
      <w:keepNext/>
      <w:spacing w:before="240" w:after="240"/>
      <w:outlineLvl w:val="1"/>
    </w:pPr>
    <w:rPr>
      <w:rFonts w:ascii="Arial" w:hAnsi="Arial" w:cs="Arial"/>
      <w:b/>
      <w:bCs/>
      <w:sz w:val="36"/>
      <w:szCs w:val="36"/>
    </w:rPr>
  </w:style>
  <w:style w:type="paragraph" w:styleId="Heading3">
    <w:name w:val="heading 3"/>
    <w:basedOn w:val="Normal"/>
    <w:next w:val="Normal"/>
    <w:link w:val="Heading3Char"/>
    <w:autoRedefine/>
    <w:uiPriority w:val="99"/>
    <w:qFormat/>
    <w:pPr>
      <w:keepNext/>
      <w:spacing w:before="180" w:after="180"/>
      <w:outlineLvl w:val="2"/>
    </w:pPr>
    <w:rPr>
      <w:rFonts w:ascii="Arial" w:hAnsi="Arial" w:cs="Arial"/>
      <w:b/>
      <w:bCs/>
      <w:sz w:val="32"/>
      <w:szCs w:val="3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paragraph" w:styleId="FootnoteText">
    <w:name w:val="footnote text"/>
    <w:basedOn w:val="Normal"/>
    <w:link w:val="FootnoteTextChar"/>
    <w:uiPriority w:val="99"/>
    <w:pPr>
      <w:ind w:left="170" w:hanging="170"/>
    </w:pPr>
    <w:rPr>
      <w:rFonts w:cs="Times New Roman"/>
      <w:sz w:val="24"/>
      <w:szCs w:val="24"/>
    </w:rPr>
  </w:style>
  <w:style w:type="character" w:customStyle="1" w:styleId="FootnoteTextChar">
    <w:name w:val="Footnote Text Char"/>
    <w:basedOn w:val="DefaultParagraphFont"/>
    <w:link w:val="FootnoteText"/>
    <w:uiPriority w:val="99"/>
    <w:rPr>
      <w:rFonts w:ascii="Times New Roman" w:hAnsi="Times New Roman" w:cs="Times New Roman"/>
      <w:sz w:val="20"/>
      <w:szCs w:val="20"/>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TOC1">
    <w:name w:val="toc 1"/>
    <w:basedOn w:val="Normal"/>
    <w:next w:val="Normal"/>
    <w:autoRedefine/>
    <w:uiPriority w:val="99"/>
    <w:pPr>
      <w:tabs>
        <w:tab w:val="right" w:leader="dot" w:pos="9627"/>
      </w:tabs>
      <w:ind w:left="280" w:hanging="280"/>
    </w:pPr>
    <w:rPr>
      <w:rFonts w:cs="Times New Roman"/>
    </w:rPr>
  </w:style>
  <w:style w:type="paragraph" w:styleId="TOC2">
    <w:name w:val="toc 2"/>
    <w:basedOn w:val="Normal"/>
    <w:next w:val="Normal"/>
    <w:autoRedefine/>
    <w:uiPriority w:val="99"/>
    <w:pPr>
      <w:tabs>
        <w:tab w:val="right" w:leader="dot" w:pos="9627"/>
      </w:tabs>
      <w:ind w:left="840" w:hanging="560"/>
    </w:pPr>
    <w:rPr>
      <w:rFonts w:cs="Times New Roman"/>
    </w:rPr>
  </w:style>
  <w:style w:type="paragraph" w:styleId="EnvelopeAddress">
    <w:name w:val="envelope address"/>
    <w:basedOn w:val="Normal"/>
    <w:uiPriority w:val="99"/>
    <w:pPr>
      <w:framePr w:w="7920" w:h="1980" w:hRule="exact" w:hSpace="141" w:wrap="auto" w:hAnchor="page" w:xAlign="center" w:yAlign="bottom"/>
      <w:ind w:left="2880"/>
    </w:pPr>
    <w:rPr>
      <w:rFonts w:ascii="Arial" w:hAnsi="Arial" w:cs="Arial"/>
      <w:b/>
      <w:bCs/>
      <w:i/>
      <w:iCs/>
      <w:sz w:val="32"/>
      <w:szCs w:val="32"/>
    </w:rPr>
  </w:style>
  <w:style w:type="paragraph" w:styleId="EnvelopeReturn">
    <w:name w:val="envelope return"/>
    <w:basedOn w:val="Normal"/>
    <w:uiPriority w:val="99"/>
    <w:rPr>
      <w:rFonts w:ascii="Arial" w:hAnsi="Arial" w:cs="Arial"/>
    </w:rPr>
  </w:style>
  <w:style w:type="paragraph" w:styleId="Header">
    <w:name w:val="header"/>
    <w:basedOn w:val="Normal"/>
    <w:link w:val="HeaderChar"/>
    <w:uiPriority w:val="99"/>
    <w:pPr>
      <w:tabs>
        <w:tab w:val="center" w:pos="4536"/>
        <w:tab w:val="right" w:pos="9072"/>
      </w:tabs>
    </w:pPr>
    <w:rPr>
      <w:rFonts w:cs="Times New Roman"/>
    </w:rPr>
  </w:style>
  <w:style w:type="character" w:customStyle="1" w:styleId="HeaderChar">
    <w:name w:val="Header Char"/>
    <w:basedOn w:val="DefaultParagraphFont"/>
    <w:link w:val="Header"/>
    <w:uiPriority w:val="99"/>
    <w:rPr>
      <w:rFonts w:ascii="Times New Roman" w:hAnsi="Times New Roman" w:cs="Times New Roman"/>
      <w:sz w:val="20"/>
      <w:szCs w:val="20"/>
    </w:rPr>
  </w:style>
  <w:style w:type="character" w:styleId="PageNumber">
    <w:name w:val="page number"/>
    <w:basedOn w:val="DefaultParagraphFont"/>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pPr>
    <w:rPr>
      <w:rFonts w:cs="Times New Roman"/>
    </w:rPr>
  </w:style>
  <w:style w:type="character" w:customStyle="1" w:styleId="FooterChar">
    <w:name w:val="Footer Char"/>
    <w:basedOn w:val="DefaultParagraphFont"/>
    <w:link w:val="Footer"/>
    <w:uiPriority w:val="99"/>
    <w:rPr>
      <w:rFonts w:ascii="Times New Roman" w:hAnsi="Times New Roman" w:cs="Times New Roman"/>
      <w:sz w:val="20"/>
      <w:szCs w:val="20"/>
    </w:rPr>
  </w:style>
  <w:style w:type="paragraph" w:styleId="BodyText2">
    <w:name w:val="Body Text 2"/>
    <w:basedOn w:val="Normal"/>
    <w:link w:val="BodyText2Char"/>
    <w:uiPriority w:val="99"/>
    <w:pPr>
      <w:spacing w:line="360" w:lineRule="auto"/>
      <w:jc w:val="both"/>
    </w:pPr>
    <w:rPr>
      <w:rFonts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BodyTextIndent2">
    <w:name w:val="Body Text Indent 2"/>
    <w:basedOn w:val="Normal"/>
    <w:link w:val="BodyTextIndent2Char"/>
    <w:uiPriority w:val="99"/>
    <w:pPr>
      <w:spacing w:line="360" w:lineRule="auto"/>
      <w:ind w:left="284"/>
      <w:jc w:val="both"/>
    </w:pPr>
    <w:rPr>
      <w:rFonts w:cs="Times New Roman"/>
      <w:sz w:val="24"/>
      <w:szCs w:val="24"/>
    </w:rPr>
  </w:style>
  <w:style w:type="character" w:customStyle="1" w:styleId="BodyTextIndent2Char">
    <w:name w:val="Body Text Indent 2 Char"/>
    <w:basedOn w:val="DefaultParagraphFont"/>
    <w:link w:val="BodyTextIndent2"/>
    <w:uiPriority w:val="99"/>
    <w:rPr>
      <w:rFonts w:ascii="Times New Roman" w:hAnsi="Times New Roman" w:cs="Times New Roman"/>
      <w:sz w:val="24"/>
      <w:szCs w:val="24"/>
    </w:rPr>
  </w:style>
  <w:style w:type="paragraph" w:styleId="ListParagraph">
    <w:name w:val="List Paragraph"/>
    <w:basedOn w:val="Normal"/>
    <w:uiPriority w:val="99"/>
    <w:qFormat/>
    <w:pPr>
      <w:ind w:left="720"/>
    </w:pPr>
    <w:rPr>
      <w:rFonts w:cs="Times New Roman"/>
    </w:rPr>
  </w:style>
  <w:style w:type="character" w:styleId="Hyperlink">
    <w:name w:val="Hyperlink"/>
    <w:basedOn w:val="DefaultParagraphFont"/>
    <w:uiPriority w:val="99"/>
    <w:rPr>
      <w:rFonts w:ascii="Times New Roman" w:hAnsi="Times New Roman" w:cs="Times New Roman"/>
      <w:color w:val="0000FF"/>
      <w:u w:val="single"/>
    </w:rPr>
  </w:style>
  <w:style w:type="character" w:styleId="FollowedHyperlink">
    <w:name w:val="FollowedHyperlink"/>
    <w:basedOn w:val="DefaultParagraphFont"/>
    <w:uiPriority w:val="99"/>
    <w:rPr>
      <w:rFonts w:ascii="Times New Roman" w:hAnsi="Times New Roman"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236</TotalTime>
  <Pages>3</Pages>
  <Words>766</Words>
  <Characters>4367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Mkus</dc:creator>
  <cp:keywords/>
  <dc:description/>
  <cp:lastModifiedBy>IWIECZOREK</cp:lastModifiedBy>
  <cp:revision>70</cp:revision>
  <cp:lastPrinted>2011-12-13T16:48:00Z</cp:lastPrinted>
  <dcterms:created xsi:type="dcterms:W3CDTF">2009-10-15T06:56:00Z</dcterms:created>
  <dcterms:modified xsi:type="dcterms:W3CDTF">2012-01-09T11:03:00Z</dcterms:modified>
</cp:coreProperties>
</file>