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58" w:rsidRDefault="00970558">
      <w:pPr>
        <w:pStyle w:val="Heading3"/>
        <w:keepNext w:val="0"/>
        <w:spacing w:before="240"/>
        <w:jc w:val="center"/>
        <w:rPr>
          <w:color w:val="000000"/>
        </w:rPr>
      </w:pPr>
      <w:r>
        <w:rPr>
          <w:color w:val="000000"/>
        </w:rPr>
        <w:t>Uchwała Nr XIV/100/11</w:t>
      </w:r>
    </w:p>
    <w:p w:rsidR="00970558" w:rsidRDefault="00970558">
      <w:pPr>
        <w:spacing w:before="120"/>
        <w:jc w:val="center"/>
        <w:rPr>
          <w:rFonts w:cs="Times New Roman"/>
          <w:b/>
          <w:bCs/>
          <w:color w:val="000000"/>
          <w:sz w:val="32"/>
          <w:szCs w:val="32"/>
        </w:rPr>
      </w:pPr>
      <w:r>
        <w:rPr>
          <w:rFonts w:cs="Times New Roman"/>
          <w:b/>
          <w:bCs/>
          <w:color w:val="000000"/>
          <w:sz w:val="32"/>
          <w:szCs w:val="32"/>
        </w:rPr>
        <w:t>Rady Powiatu Gryfickiego</w:t>
      </w:r>
    </w:p>
    <w:p w:rsidR="00970558" w:rsidRDefault="00970558">
      <w:pPr>
        <w:spacing w:before="120"/>
        <w:jc w:val="center"/>
        <w:rPr>
          <w:rFonts w:cs="Times New Roman"/>
          <w:b/>
          <w:bCs/>
          <w:color w:val="000000"/>
          <w:sz w:val="32"/>
          <w:szCs w:val="32"/>
        </w:rPr>
      </w:pPr>
      <w:r>
        <w:rPr>
          <w:rFonts w:cs="Times New Roman"/>
          <w:b/>
          <w:bCs/>
          <w:color w:val="000000"/>
          <w:sz w:val="32"/>
          <w:szCs w:val="32"/>
        </w:rPr>
        <w:t>z dnia 21 grudnia  2011 roku</w:t>
      </w:r>
    </w:p>
    <w:p w:rsidR="00970558" w:rsidRDefault="00970558">
      <w:pPr>
        <w:spacing w:before="120"/>
        <w:jc w:val="center"/>
        <w:rPr>
          <w:rFonts w:cs="Times New Roman"/>
          <w:b/>
          <w:bCs/>
          <w:color w:val="000000"/>
          <w:sz w:val="32"/>
          <w:szCs w:val="32"/>
        </w:rPr>
      </w:pPr>
    </w:p>
    <w:p w:rsidR="00970558" w:rsidRDefault="00970558">
      <w:pPr>
        <w:spacing w:before="120"/>
        <w:jc w:val="both"/>
        <w:rPr>
          <w:rFonts w:cs="Times New Roman"/>
          <w:b/>
          <w:bCs/>
          <w:color w:val="000000"/>
          <w:sz w:val="28"/>
          <w:szCs w:val="28"/>
        </w:rPr>
      </w:pPr>
      <w:r>
        <w:rPr>
          <w:rFonts w:cs="Times New Roman"/>
          <w:b/>
          <w:bCs/>
          <w:color w:val="000000"/>
          <w:sz w:val="28"/>
          <w:szCs w:val="28"/>
        </w:rPr>
        <w:t xml:space="preserve">w sprawie zmiany Uchwały Nr III/23/10  Rady Powiatu Gryfickiego oraz zmian w wieloletniej prognozie finansowej Powiatu Gryfickiego na lata 2011-2021. </w:t>
      </w:r>
    </w:p>
    <w:p w:rsidR="00970558" w:rsidRDefault="00970558">
      <w:pPr>
        <w:pStyle w:val="BodyText2"/>
        <w:spacing w:before="360" w:line="240" w:lineRule="auto"/>
        <w:ind w:firstLine="709"/>
        <w:rPr>
          <w:color w:val="000000"/>
          <w:sz w:val="28"/>
          <w:szCs w:val="28"/>
        </w:rPr>
      </w:pPr>
      <w:r>
        <w:rPr>
          <w:color w:val="000000"/>
          <w:sz w:val="28"/>
          <w:szCs w:val="28"/>
        </w:rPr>
        <w:t>Na podstawie art.226, art.227, art.228 art. 230 ust. 6  i art.243 ustawy z dnia 27 sierpnia 2009 r. o finansach publicznych (Dz. U. Nr 157, poz. 1240 oraz z 2010 r. Nr 28, poz. 146, Nr 96, poz. 620,  Nr 123, poz. 835, Nr 152, poz. 1020, Nr 238, poz. 1578, Nr 257, poz. 1726,) Rada Powiatu uchwala, co następuje:</w:t>
      </w:r>
    </w:p>
    <w:p w:rsidR="00970558" w:rsidRDefault="00970558">
      <w:pPr>
        <w:pStyle w:val="BodyText2"/>
        <w:spacing w:before="360" w:line="240" w:lineRule="auto"/>
        <w:rPr>
          <w:b/>
          <w:bCs/>
          <w:color w:val="000000"/>
          <w:sz w:val="28"/>
          <w:szCs w:val="28"/>
        </w:rPr>
      </w:pPr>
      <w:r>
        <w:rPr>
          <w:b/>
          <w:bCs/>
          <w:color w:val="000000"/>
          <w:sz w:val="28"/>
          <w:szCs w:val="28"/>
        </w:rPr>
        <w:t>§ 1</w:t>
      </w:r>
      <w:r>
        <w:rPr>
          <w:color w:val="000000"/>
          <w:sz w:val="28"/>
          <w:szCs w:val="28"/>
        </w:rPr>
        <w:t>.  W uchwale Nr III/23/10 Rady Powiatu Gryfickiego w sprawie uchwalenia wieloletniej prognozy finansowej Powiatu Gryfickiego na lata 2011-2021,zmienioną Uchwałą Nr IV/28/11Rady Powiatu Gryfickiego z dnia 26 stycznia 2011r., zmienioną Uchwałą Nr V/40/11Rady Powiatu Gryfickiego z dnia 28 lutego 2011r., zmienioną Uchwałą Nr VI/48/11Rady Powiatu Gryfickiego z dnia 30 marca 2011r., zmienioną Uchwałą Nr VII/55/11Rady Powiatu Gryfickiego z dnia 27 maja 2011r., zmienioną Uchwałą Nr VIII/63/11Rady Powiatu Gryfickiego z dnia 21 czerwca 2011r., zmienioną Uchwałą Nr IX/68/11Rady Powiatu Gryfickiego z dnia 15 lipca 2011r.,   zmienioną Uchwałą Nr X/72/11Rady Powiatu Gryfickiego z dnia 30 sierpnia 2011r., zmienioną Uchwałą Nr XI/82/11Rady Powiatu Gryfickiego z dnia 28 września 2011r zmienioną Uchwałą Nr XII/91/11Rady Powiatu Gryfickiego z dnia 27 października 2011r , zmienioną Uchwałą Nr XIII/94/11Rady Powiatu Gryfickiego z dnia 30 listopada 2011r wprowadza się następujące zmiany:</w:t>
      </w:r>
    </w:p>
    <w:p w:rsidR="00970558" w:rsidRDefault="00970558">
      <w:pPr>
        <w:pStyle w:val="BodyText2"/>
        <w:numPr>
          <w:ilvl w:val="0"/>
          <w:numId w:val="32"/>
        </w:numPr>
        <w:spacing w:before="360" w:line="240" w:lineRule="auto"/>
        <w:rPr>
          <w:color w:val="000000"/>
          <w:sz w:val="28"/>
          <w:szCs w:val="28"/>
        </w:rPr>
      </w:pPr>
      <w:r>
        <w:rPr>
          <w:color w:val="000000"/>
          <w:sz w:val="28"/>
          <w:szCs w:val="28"/>
        </w:rPr>
        <w:t>Załącznik Nr 1 „Wieloletnia Prognoza Finansowa Powiatu Gryfickiego na lata 2011-2021 „ otrzymuje brzmienie  jak załącznik Nr 1.</w:t>
      </w:r>
    </w:p>
    <w:p w:rsidR="00970558" w:rsidRDefault="00970558">
      <w:pPr>
        <w:pStyle w:val="BodyText2"/>
        <w:numPr>
          <w:ilvl w:val="0"/>
          <w:numId w:val="32"/>
        </w:numPr>
        <w:spacing w:before="360" w:line="240" w:lineRule="auto"/>
        <w:rPr>
          <w:color w:val="000000"/>
          <w:sz w:val="28"/>
          <w:szCs w:val="28"/>
        </w:rPr>
      </w:pPr>
      <w:r>
        <w:t>Załącznik Nr 3”Planowane i realizowane przedsięwzięcia Powiatu Gryfickiego  w latach 2011-2021”otrzymuje brzmienie jak załącznik Nr 2.</w:t>
      </w:r>
    </w:p>
    <w:p w:rsidR="00970558" w:rsidRDefault="00970558">
      <w:pPr>
        <w:pStyle w:val="BodyText2"/>
        <w:spacing w:before="360" w:line="240" w:lineRule="auto"/>
        <w:rPr>
          <w:sz w:val="28"/>
          <w:szCs w:val="28"/>
        </w:rPr>
      </w:pPr>
      <w:r>
        <w:rPr>
          <w:b/>
          <w:bCs/>
          <w:sz w:val="28"/>
          <w:szCs w:val="28"/>
        </w:rPr>
        <w:t>§ 2.</w:t>
      </w:r>
      <w:r>
        <w:rPr>
          <w:sz w:val="28"/>
          <w:szCs w:val="28"/>
        </w:rPr>
        <w:t>Wykonanie uchwały powierza się Zarządowi Powiatu.</w:t>
      </w:r>
    </w:p>
    <w:p w:rsidR="00970558" w:rsidRDefault="00970558">
      <w:pPr>
        <w:keepNext/>
        <w:tabs>
          <w:tab w:val="right" w:pos="7655"/>
          <w:tab w:val="right" w:pos="9498"/>
        </w:tabs>
        <w:spacing w:before="240"/>
        <w:rPr>
          <w:rFonts w:cs="Times New Roman"/>
          <w:color w:val="000000"/>
          <w:sz w:val="28"/>
          <w:szCs w:val="28"/>
        </w:rPr>
      </w:pPr>
      <w:r>
        <w:rPr>
          <w:rFonts w:cs="Times New Roman"/>
          <w:b/>
          <w:bCs/>
          <w:color w:val="000000"/>
          <w:sz w:val="28"/>
          <w:szCs w:val="28"/>
        </w:rPr>
        <w:t>§ 3</w:t>
      </w:r>
      <w:r>
        <w:rPr>
          <w:rFonts w:cs="Times New Roman"/>
          <w:color w:val="000000"/>
          <w:sz w:val="28"/>
          <w:szCs w:val="28"/>
        </w:rPr>
        <w:t>.Uchwała wchodzi w życie z  dniem podjęcia</w:t>
      </w:r>
    </w:p>
    <w:p w:rsidR="00970558" w:rsidRDefault="00970558">
      <w:pPr>
        <w:keepNext/>
        <w:tabs>
          <w:tab w:val="right" w:pos="7655"/>
          <w:tab w:val="right" w:pos="9498"/>
        </w:tabs>
        <w:spacing w:before="240"/>
        <w:rPr>
          <w:rFonts w:cs="Times New Roman"/>
          <w:color w:val="000000"/>
          <w:sz w:val="28"/>
          <w:szCs w:val="28"/>
        </w:rPr>
      </w:pPr>
    </w:p>
    <w:p w:rsidR="00970558" w:rsidRDefault="00970558">
      <w:pPr>
        <w:ind w:left="4254"/>
        <w:jc w:val="center"/>
        <w:rPr>
          <w:rFonts w:cs="Times New Roman"/>
          <w:color w:val="000000"/>
          <w:sz w:val="28"/>
          <w:szCs w:val="28"/>
        </w:rPr>
      </w:pPr>
      <w:r>
        <w:rPr>
          <w:rFonts w:cs="Times New Roman"/>
          <w:color w:val="000000"/>
          <w:sz w:val="28"/>
          <w:szCs w:val="28"/>
        </w:rPr>
        <w:t>Przewodnicząca Rady Powiatu</w:t>
      </w:r>
    </w:p>
    <w:p w:rsidR="00970558" w:rsidRDefault="00970558">
      <w:pPr>
        <w:ind w:left="4254"/>
        <w:jc w:val="center"/>
        <w:rPr>
          <w:rFonts w:cs="Times New Roman"/>
          <w:color w:val="000000"/>
          <w:sz w:val="28"/>
          <w:szCs w:val="28"/>
        </w:rPr>
      </w:pPr>
    </w:p>
    <w:p w:rsidR="00970558" w:rsidRDefault="00970558">
      <w:pPr>
        <w:ind w:left="2836" w:firstLine="709"/>
        <w:jc w:val="center"/>
        <w:rPr>
          <w:rFonts w:cs="Times New Roman"/>
          <w:color w:val="000000"/>
          <w:sz w:val="28"/>
          <w:szCs w:val="28"/>
        </w:rPr>
      </w:pPr>
      <w:r>
        <w:rPr>
          <w:rFonts w:cs="Times New Roman"/>
          <w:color w:val="000000"/>
          <w:sz w:val="28"/>
          <w:szCs w:val="28"/>
        </w:rPr>
        <w:t xml:space="preserve">         Renata Teresa Korek</w:t>
      </w:r>
    </w:p>
    <w:p w:rsidR="00970558" w:rsidRDefault="00970558">
      <w:pPr>
        <w:rPr>
          <w:rFonts w:cs="Times New Roman"/>
          <w:color w:val="000000"/>
          <w:sz w:val="22"/>
          <w:szCs w:val="22"/>
        </w:rPr>
      </w:pPr>
    </w:p>
    <w:p w:rsidR="00970558" w:rsidRDefault="00970558">
      <w:pPr>
        <w:rPr>
          <w:rFonts w:cs="Times New Roman"/>
          <w:color w:val="000000"/>
          <w:sz w:val="22"/>
          <w:szCs w:val="22"/>
        </w:rPr>
      </w:pPr>
    </w:p>
    <w:p w:rsidR="00970558" w:rsidRDefault="00970558">
      <w:pPr>
        <w:rPr>
          <w:rFonts w:cs="Times New Roman"/>
          <w:color w:val="000000"/>
          <w:sz w:val="22"/>
          <w:szCs w:val="22"/>
        </w:rPr>
      </w:pPr>
    </w:p>
    <w:p w:rsidR="00970558" w:rsidRDefault="00970558">
      <w:pPr>
        <w:rPr>
          <w:rFonts w:cs="Times New Roman"/>
          <w:color w:val="000000"/>
          <w:sz w:val="22"/>
          <w:szCs w:val="22"/>
        </w:rPr>
      </w:pPr>
    </w:p>
    <w:p w:rsidR="00970558" w:rsidRDefault="00970558">
      <w:pPr>
        <w:jc w:val="center"/>
        <w:rPr>
          <w:rFonts w:ascii="Tahoma" w:hAnsi="Tahoma" w:cs="Tahoma"/>
          <w:b/>
          <w:bCs/>
          <w:sz w:val="28"/>
          <w:szCs w:val="28"/>
        </w:rPr>
      </w:pPr>
      <w:r>
        <w:rPr>
          <w:rFonts w:ascii="Tahoma" w:hAnsi="Tahoma" w:cs="Tahoma"/>
          <w:b/>
          <w:bCs/>
          <w:sz w:val="28"/>
          <w:szCs w:val="28"/>
        </w:rPr>
        <w:t>UZASADNIENIE</w:t>
      </w:r>
    </w:p>
    <w:p w:rsidR="00970558" w:rsidRDefault="00970558">
      <w:pPr>
        <w:jc w:val="center"/>
        <w:rPr>
          <w:rFonts w:ascii="Tahoma" w:hAnsi="Tahoma" w:cs="Tahoma"/>
          <w:b/>
          <w:bCs/>
          <w:sz w:val="28"/>
          <w:szCs w:val="28"/>
        </w:rPr>
      </w:pPr>
      <w:r>
        <w:rPr>
          <w:rFonts w:ascii="Tahoma" w:hAnsi="Tahoma" w:cs="Tahoma"/>
          <w:b/>
          <w:bCs/>
          <w:sz w:val="28"/>
          <w:szCs w:val="28"/>
        </w:rPr>
        <w:t>DO UCHWAŁY NR XIV/100/11</w:t>
      </w:r>
    </w:p>
    <w:p w:rsidR="00970558" w:rsidRDefault="00970558">
      <w:pPr>
        <w:jc w:val="center"/>
        <w:rPr>
          <w:rFonts w:ascii="Tahoma" w:hAnsi="Tahoma" w:cs="Tahoma"/>
          <w:b/>
          <w:bCs/>
          <w:sz w:val="28"/>
          <w:szCs w:val="28"/>
        </w:rPr>
      </w:pPr>
      <w:r>
        <w:rPr>
          <w:rFonts w:ascii="Tahoma" w:hAnsi="Tahoma" w:cs="Tahoma"/>
          <w:b/>
          <w:bCs/>
          <w:sz w:val="28"/>
          <w:szCs w:val="28"/>
        </w:rPr>
        <w:t>RADY POWIATU</w:t>
      </w:r>
    </w:p>
    <w:p w:rsidR="00970558" w:rsidRDefault="00970558">
      <w:pPr>
        <w:jc w:val="center"/>
        <w:rPr>
          <w:rFonts w:ascii="Tahoma" w:hAnsi="Tahoma" w:cs="Tahoma"/>
          <w:b/>
          <w:bCs/>
          <w:sz w:val="28"/>
          <w:szCs w:val="28"/>
        </w:rPr>
      </w:pPr>
      <w:r>
        <w:rPr>
          <w:rFonts w:ascii="Tahoma" w:hAnsi="Tahoma" w:cs="Tahoma"/>
          <w:b/>
          <w:bCs/>
          <w:sz w:val="28"/>
          <w:szCs w:val="28"/>
        </w:rPr>
        <w:t>GRYFICKIEGO</w:t>
      </w:r>
    </w:p>
    <w:p w:rsidR="00970558" w:rsidRDefault="00970558">
      <w:pPr>
        <w:jc w:val="center"/>
        <w:rPr>
          <w:rFonts w:ascii="Tahoma" w:hAnsi="Tahoma" w:cs="Tahoma"/>
          <w:b/>
          <w:bCs/>
          <w:sz w:val="28"/>
          <w:szCs w:val="28"/>
        </w:rPr>
      </w:pPr>
      <w:r>
        <w:rPr>
          <w:rFonts w:ascii="Tahoma" w:hAnsi="Tahoma" w:cs="Tahoma"/>
          <w:b/>
          <w:bCs/>
          <w:sz w:val="28"/>
          <w:szCs w:val="28"/>
        </w:rPr>
        <w:t>z dnia 21 grudnia 2011 roku</w:t>
      </w:r>
    </w:p>
    <w:p w:rsidR="00970558" w:rsidRDefault="00970558">
      <w:pPr>
        <w:rPr>
          <w:rFonts w:ascii="Tahoma" w:hAnsi="Tahoma" w:cs="Tahoma"/>
          <w:b/>
          <w:bCs/>
          <w:sz w:val="28"/>
          <w:szCs w:val="28"/>
        </w:rPr>
      </w:pPr>
    </w:p>
    <w:p w:rsidR="00970558" w:rsidRDefault="00970558">
      <w:pPr>
        <w:rPr>
          <w:rFonts w:ascii="Tahoma" w:hAnsi="Tahoma" w:cs="Tahoma"/>
        </w:rPr>
      </w:pPr>
    </w:p>
    <w:p w:rsidR="00970558" w:rsidRDefault="00970558">
      <w:pPr>
        <w:rPr>
          <w:rFonts w:ascii="Tahoma" w:hAnsi="Tahoma" w:cs="Tahoma"/>
        </w:rPr>
      </w:pPr>
      <w:r>
        <w:rPr>
          <w:rFonts w:ascii="Tahoma" w:hAnsi="Tahoma" w:cs="Tahoma"/>
        </w:rPr>
        <w:t>Niniejszą uchwałą wprowadza się zmiany w Wieloletniej Prognozie Finansowej Powiatu Gryfickiego na lata 2011-2021:</w:t>
      </w:r>
    </w:p>
    <w:p w:rsidR="00970558" w:rsidRDefault="00970558">
      <w:pPr>
        <w:rPr>
          <w:rFonts w:ascii="Tahoma" w:hAnsi="Tahoma" w:cs="Tahoma"/>
        </w:rPr>
      </w:pPr>
    </w:p>
    <w:p w:rsidR="00970558" w:rsidRDefault="00970558">
      <w:pPr>
        <w:rPr>
          <w:rFonts w:ascii="Tahoma" w:hAnsi="Tahoma" w:cs="Tahoma"/>
          <w:b/>
          <w:bCs/>
        </w:rPr>
      </w:pPr>
      <w:r>
        <w:rPr>
          <w:rFonts w:ascii="Tahoma" w:hAnsi="Tahoma" w:cs="Tahoma"/>
          <w:b/>
          <w:bCs/>
        </w:rPr>
        <w:t>Załącznik nr 1 pn. „Wieloletnia prognoza Powiatu Gryfickiego na lata 2011-2021 w kolumnie” 2011 rok” wprowadza się zmiany jak niżęj:</w:t>
      </w:r>
    </w:p>
    <w:p w:rsidR="00970558" w:rsidRDefault="00970558">
      <w:pPr>
        <w:rPr>
          <w:rFonts w:ascii="Tahoma" w:hAnsi="Tahoma" w:cs="Tahoma"/>
          <w:b/>
          <w:bCs/>
        </w:rPr>
      </w:pPr>
      <w:r>
        <w:rPr>
          <w:rFonts w:ascii="Tahoma" w:hAnsi="Tahoma" w:cs="Tahoma"/>
          <w:b/>
          <w:bCs/>
        </w:rPr>
        <w:t>Rok 2011</w:t>
      </w:r>
    </w:p>
    <w:p w:rsidR="00970558" w:rsidRDefault="00970558">
      <w:pPr>
        <w:rPr>
          <w:rFonts w:ascii="Tahoma" w:hAnsi="Tahoma" w:cs="Tahoma"/>
          <w:b/>
          <w:bCs/>
        </w:rPr>
      </w:pPr>
    </w:p>
    <w:p w:rsidR="00970558" w:rsidRDefault="00970558">
      <w:pPr>
        <w:rPr>
          <w:rFonts w:ascii="Tahoma" w:hAnsi="Tahoma" w:cs="Tahoma"/>
        </w:rPr>
      </w:pPr>
      <w:r>
        <w:rPr>
          <w:rFonts w:ascii="Tahoma" w:hAnsi="Tahoma" w:cs="Tahoma"/>
          <w:b/>
          <w:bCs/>
        </w:rPr>
        <w:t xml:space="preserve">a) </w:t>
      </w:r>
      <w:r>
        <w:rPr>
          <w:rFonts w:ascii="Tahoma" w:hAnsi="Tahoma" w:cs="Tahoma"/>
        </w:rPr>
        <w:t xml:space="preserve">w wierszu o Lp. 1 „Dochody ogółem”   kwotę79.279.437,49 zł, </w:t>
      </w:r>
    </w:p>
    <w:p w:rsidR="00970558" w:rsidRDefault="00970558">
      <w:pPr>
        <w:rPr>
          <w:rFonts w:ascii="Tahoma" w:hAnsi="Tahoma" w:cs="Tahoma"/>
        </w:rPr>
      </w:pPr>
      <w:r>
        <w:rPr>
          <w:rFonts w:ascii="Tahoma" w:hAnsi="Tahoma" w:cs="Tahoma"/>
        </w:rPr>
        <w:t xml:space="preserve">  zastępuje się  kwotą 79.727.582,22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b)</w:t>
      </w:r>
      <w:r>
        <w:rPr>
          <w:rFonts w:ascii="Tahoma" w:hAnsi="Tahoma" w:cs="Tahoma"/>
        </w:rPr>
        <w:t xml:space="preserve"> w wierszu o Lp.1a „ dochody bieżące    kwotę 66.752.323,00 zł,</w:t>
      </w:r>
    </w:p>
    <w:p w:rsidR="00970558" w:rsidRDefault="00970558">
      <w:pPr>
        <w:rPr>
          <w:rFonts w:ascii="Tahoma" w:hAnsi="Tahoma" w:cs="Tahoma"/>
        </w:rPr>
      </w:pPr>
      <w:r>
        <w:rPr>
          <w:rFonts w:ascii="Tahoma" w:hAnsi="Tahoma" w:cs="Tahoma"/>
        </w:rPr>
        <w:t>zastępuje się  kwotą 67.185.666,73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c)</w:t>
      </w:r>
      <w:r>
        <w:rPr>
          <w:rFonts w:ascii="Tahoma" w:hAnsi="Tahoma" w:cs="Tahoma"/>
        </w:rPr>
        <w:t xml:space="preserve"> </w:t>
      </w:r>
      <w:r>
        <w:rPr>
          <w:rFonts w:ascii="Tahoma" w:hAnsi="Tahoma" w:cs="Tahoma"/>
          <w:b/>
          <w:bCs/>
        </w:rPr>
        <w:t>)</w:t>
      </w:r>
      <w:r>
        <w:rPr>
          <w:rFonts w:ascii="Tahoma" w:hAnsi="Tahoma" w:cs="Tahoma"/>
        </w:rPr>
        <w:t xml:space="preserve"> w wierszu o Lp.1b „ dochody majątkowe    kwotę 12.527.114,49 zł,, zastępuje się  kwotą 12.541.915,49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d)</w:t>
      </w:r>
      <w:r>
        <w:rPr>
          <w:rFonts w:ascii="Tahoma" w:hAnsi="Tahoma" w:cs="Tahoma"/>
        </w:rPr>
        <w:t xml:space="preserve"> w wierszu „ ze sprzedaży majątku” kwotę 4.137.959,00 zł , zastępuje się kwotą 4.150.260,00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e)</w:t>
      </w:r>
      <w:r>
        <w:rPr>
          <w:rFonts w:ascii="Tahoma" w:hAnsi="Tahoma" w:cs="Tahoma"/>
        </w:rPr>
        <w:t xml:space="preserve"> w wierszu Lp. 2 „ Wydatki bieżące( bez odsetki prowizji od: kredytów i pożyczek oraz wyemitowanych papierów wartościowych) w tym:” kwotę 65.326.114,61 zł, zastępuje się kwotą 65.586.805,51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f)</w:t>
      </w:r>
      <w:r>
        <w:rPr>
          <w:rFonts w:ascii="Tahoma" w:hAnsi="Tahoma" w:cs="Tahoma"/>
        </w:rPr>
        <w:t xml:space="preserve"> w wierszu o Lp.2e „ wydatki bieżące objęte limitem art.226 ust.4 upf ”    kwotę 5.861.685,81  zł, zastępuje się  kwotą  5.749.021,46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g</w:t>
      </w:r>
      <w:r>
        <w:rPr>
          <w:rFonts w:ascii="Tahoma" w:hAnsi="Tahoma" w:cs="Tahoma"/>
        </w:rPr>
        <w:t>) w wierszu o Lp.3 „ Wynik budżetu po wykonaniu wydatków bieżących ( bez obsługi)” kwotę  13.953.231,88   zł, zastępuje się  kwotą 14.140.623,33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 xml:space="preserve">h) w wierszu o lp. 4” – </w:t>
      </w:r>
      <w:r>
        <w:rPr>
          <w:rFonts w:ascii="Tahoma" w:hAnsi="Tahoma" w:cs="Tahoma"/>
        </w:rPr>
        <w:t>nadwyżka budżetowa z lat ubiegłych plus wolne środki, zgodnie z art. 217 ufp. angażowane na pokrycie deficytu budżetu roku bieżącego”</w:t>
      </w:r>
    </w:p>
    <w:p w:rsidR="00970558" w:rsidRDefault="00970558">
      <w:pPr>
        <w:rPr>
          <w:rFonts w:ascii="Tahoma" w:hAnsi="Tahoma" w:cs="Tahoma"/>
        </w:rPr>
      </w:pPr>
      <w:r>
        <w:rPr>
          <w:rFonts w:ascii="Tahoma" w:hAnsi="Tahoma" w:cs="Tahoma"/>
        </w:rPr>
        <w:t>kwotę 961.299,69 zł. zastępuje się kwotą  773.994,24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i</w:t>
      </w:r>
      <w:r>
        <w:rPr>
          <w:rFonts w:ascii="Tahoma" w:hAnsi="Tahoma" w:cs="Tahoma"/>
        </w:rPr>
        <w:t>) w wierszu o Lp. 6. „ Środki do dyspozycji(3+4+5)” kwotę 18.958.651,68 zł,</w:t>
      </w:r>
    </w:p>
    <w:p w:rsidR="00970558" w:rsidRDefault="00970558">
      <w:pPr>
        <w:rPr>
          <w:rFonts w:ascii="Tahoma" w:hAnsi="Tahoma" w:cs="Tahoma"/>
        </w:rPr>
      </w:pPr>
      <w:r>
        <w:rPr>
          <w:rFonts w:ascii="Tahoma" w:hAnsi="Tahoma" w:cs="Tahoma"/>
        </w:rPr>
        <w:t xml:space="preserve"> zł, zastępuje się  kwotą 19.146.043,13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k</w:t>
      </w:r>
      <w:r>
        <w:rPr>
          <w:rFonts w:ascii="Tahoma" w:hAnsi="Tahoma" w:cs="Tahoma"/>
        </w:rPr>
        <w:t>) w wierszu o Lp. 9. „ Środki do dyspozycji(6-7-8)” kwotę  15.764.345,68 zł,</w:t>
      </w:r>
    </w:p>
    <w:p w:rsidR="00970558" w:rsidRDefault="00970558">
      <w:pPr>
        <w:rPr>
          <w:rFonts w:ascii="Tahoma" w:hAnsi="Tahoma" w:cs="Tahoma"/>
        </w:rPr>
      </w:pPr>
      <w:r>
        <w:rPr>
          <w:rFonts w:ascii="Tahoma" w:hAnsi="Tahoma" w:cs="Tahoma"/>
        </w:rPr>
        <w:t>, zastępuje się  kwotą 15.951.734,73 zł,</w:t>
      </w:r>
    </w:p>
    <w:p w:rsidR="00970558" w:rsidRDefault="00970558">
      <w:pPr>
        <w:rPr>
          <w:rFonts w:ascii="Tahoma" w:hAnsi="Tahoma" w:cs="Tahoma"/>
        </w:rPr>
      </w:pP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l)</w:t>
      </w:r>
      <w:r>
        <w:rPr>
          <w:rFonts w:ascii="Tahoma" w:hAnsi="Tahoma" w:cs="Tahoma"/>
        </w:rPr>
        <w:t xml:space="preserve"> w wierszu o Lp.10a „ wydatki majątkowe objęte limitem art.226 ust.4 upf )” kwotę    20.255.497,85 zł zastępuje się  kwotą 20.202.997,85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m)</w:t>
      </w:r>
      <w:r>
        <w:rPr>
          <w:rFonts w:ascii="Tahoma" w:hAnsi="Tahoma" w:cs="Tahoma"/>
        </w:rPr>
        <w:t xml:space="preserve"> w wierszu Olp.12 „ wynik  finansowy” kwotę 4.044.17,74 zł , zastępuje się kwotą 4.231.418,19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n)</w:t>
      </w:r>
      <w:r>
        <w:rPr>
          <w:rFonts w:ascii="Tahoma" w:hAnsi="Tahoma" w:cs="Tahoma"/>
        </w:rPr>
        <w:t xml:space="preserve"> w wierszu o Lp.19 „ Wydatki bieżące razem” kwotę 65.719.264,61 zł,, zastępuje się  kwotą 65.980.108,89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o</w:t>
      </w:r>
      <w:r>
        <w:rPr>
          <w:rFonts w:ascii="Tahoma" w:hAnsi="Tahoma" w:cs="Tahoma"/>
        </w:rPr>
        <w:t>) w wierszu o Lp.20 „ Wydatki ogółem” kwotę 87.439.581,15 zł, zastępuje się  kwotą  87.700.425,43 zł,</w:t>
      </w:r>
    </w:p>
    <w:p w:rsidR="00970558" w:rsidRDefault="00970558">
      <w:pPr>
        <w:rPr>
          <w:rFonts w:ascii="Tahoma" w:hAnsi="Tahoma" w:cs="Tahoma"/>
        </w:rPr>
      </w:pPr>
    </w:p>
    <w:p w:rsidR="00970558" w:rsidRDefault="00970558">
      <w:pPr>
        <w:rPr>
          <w:rFonts w:ascii="Tahoma" w:hAnsi="Tahoma" w:cs="Tahoma"/>
        </w:rPr>
      </w:pPr>
      <w:r>
        <w:rPr>
          <w:rFonts w:ascii="Tahoma" w:hAnsi="Tahoma" w:cs="Tahoma"/>
          <w:b/>
          <w:bCs/>
        </w:rPr>
        <w:t>p)</w:t>
      </w:r>
      <w:r>
        <w:rPr>
          <w:rFonts w:ascii="Tahoma" w:hAnsi="Tahoma" w:cs="Tahoma"/>
        </w:rPr>
        <w:t xml:space="preserve"> w wierszu o Lp.21. „Wynik budżetu” kwotę -8.160.234,66 zł, zastępuje się  kwotą  -7,972.843,21 zł,</w:t>
      </w:r>
    </w:p>
    <w:p w:rsidR="00970558" w:rsidRDefault="00970558">
      <w:pPr>
        <w:rPr>
          <w:rFonts w:ascii="Tahoma" w:hAnsi="Tahoma" w:cs="Tahoma"/>
        </w:rPr>
      </w:pPr>
    </w:p>
    <w:p w:rsidR="00970558" w:rsidRDefault="00970558">
      <w:pPr>
        <w:rPr>
          <w:rFonts w:ascii="Tahoma" w:hAnsi="Tahoma" w:cs="Tahoma"/>
        </w:rPr>
      </w:pPr>
    </w:p>
    <w:p w:rsidR="00970558" w:rsidRDefault="00970558">
      <w:pPr>
        <w:rPr>
          <w:rFonts w:ascii="Tahoma" w:hAnsi="Tahoma" w:cs="Tahoma"/>
          <w:b/>
          <w:bCs/>
        </w:rPr>
      </w:pPr>
      <w:r>
        <w:rPr>
          <w:rFonts w:ascii="Tahoma" w:hAnsi="Tahoma" w:cs="Tahoma"/>
          <w:b/>
          <w:bCs/>
        </w:rPr>
        <w:t>Załącznik Nr  2 „Planowane i realizowane przedsięwzięcia Powiatu Gryfickiego w latach 2011-2021” wprowadza się zmiany jak niżej:</w:t>
      </w:r>
    </w:p>
    <w:p w:rsidR="00970558" w:rsidRDefault="00970558">
      <w:pPr>
        <w:rPr>
          <w:rFonts w:ascii="Tahoma" w:hAnsi="Tahoma" w:cs="Tahoma"/>
          <w:b/>
          <w:bCs/>
        </w:rPr>
      </w:pPr>
      <w:r>
        <w:rPr>
          <w:rFonts w:ascii="Tahoma" w:hAnsi="Tahoma" w:cs="Tahoma"/>
          <w:b/>
          <w:bCs/>
        </w:rPr>
        <w:t xml:space="preserve"> Rok  2011</w:t>
      </w:r>
    </w:p>
    <w:p w:rsidR="00970558" w:rsidRDefault="00970558">
      <w:pPr>
        <w:rPr>
          <w:rFonts w:ascii="Tahoma" w:hAnsi="Tahoma" w:cs="Tahoma"/>
          <w:b/>
          <w:bCs/>
        </w:rPr>
      </w:pPr>
    </w:p>
    <w:p w:rsidR="00970558" w:rsidRDefault="00970558">
      <w:pPr>
        <w:rPr>
          <w:rFonts w:ascii="Tahoma" w:hAnsi="Tahoma" w:cs="Tahoma"/>
          <w:b/>
          <w:bCs/>
        </w:rPr>
      </w:pPr>
      <w:r>
        <w:rPr>
          <w:rFonts w:ascii="Tahoma" w:hAnsi="Tahoma" w:cs="Tahoma"/>
          <w:b/>
          <w:bCs/>
        </w:rPr>
        <w:t>a) Programy, projekty lub zadania związane z programami realizowanymi z udziałem  środków, o których mowa w art.5 ust.1 pkt 2 i 3,</w:t>
      </w:r>
    </w:p>
    <w:p w:rsidR="00970558" w:rsidRDefault="00970558">
      <w:pPr>
        <w:rPr>
          <w:rFonts w:ascii="Tahoma" w:hAnsi="Tahoma" w:cs="Tahoma"/>
          <w:b/>
          <w:bCs/>
        </w:rPr>
      </w:pPr>
    </w:p>
    <w:p w:rsidR="00970558" w:rsidRDefault="00970558">
      <w:pPr>
        <w:rPr>
          <w:rFonts w:ascii="Tahoma" w:hAnsi="Tahoma" w:cs="Tahoma"/>
        </w:rPr>
      </w:pPr>
      <w:r>
        <w:rPr>
          <w:rFonts w:ascii="Tahoma" w:hAnsi="Tahoma" w:cs="Tahoma"/>
          <w:b/>
          <w:bCs/>
        </w:rPr>
        <w:t xml:space="preserve"> </w:t>
      </w:r>
      <w:r>
        <w:rPr>
          <w:rFonts w:ascii="Tahoma" w:hAnsi="Tahoma" w:cs="Tahoma"/>
        </w:rPr>
        <w:t>w wierszu POKAL „ Piramida kompetencji” kwotę wydatków bieżących w 2011 roku  380.609,00 zł  zastępuje się kwotą 268.098,03 zł,</w:t>
      </w:r>
    </w:p>
    <w:p w:rsidR="00970558" w:rsidRDefault="00970558">
      <w:pPr>
        <w:rPr>
          <w:rFonts w:ascii="Tahoma" w:hAnsi="Tahoma" w:cs="Tahoma"/>
          <w:b/>
          <w:bCs/>
        </w:rPr>
      </w:pPr>
    </w:p>
    <w:p w:rsidR="00970558" w:rsidRDefault="00970558">
      <w:pPr>
        <w:rPr>
          <w:rFonts w:ascii="Tahoma" w:hAnsi="Tahoma" w:cs="Tahoma"/>
          <w:b/>
          <w:bCs/>
        </w:rPr>
      </w:pPr>
      <w:r>
        <w:rPr>
          <w:rFonts w:ascii="Tahoma" w:hAnsi="Tahoma" w:cs="Tahoma"/>
          <w:b/>
          <w:bCs/>
        </w:rPr>
        <w:t>c)  Programy, projekty lub zadania pozostałe (inne niż wymienione w lit.. a i b) (razem)</w:t>
      </w:r>
    </w:p>
    <w:p w:rsidR="00970558" w:rsidRDefault="00970558">
      <w:pPr>
        <w:rPr>
          <w:rFonts w:ascii="Tahoma" w:hAnsi="Tahoma" w:cs="Tahoma"/>
          <w:b/>
          <w:bCs/>
        </w:rPr>
      </w:pPr>
    </w:p>
    <w:p w:rsidR="00970558" w:rsidRDefault="00970558">
      <w:pPr>
        <w:numPr>
          <w:ilvl w:val="0"/>
          <w:numId w:val="33"/>
        </w:numPr>
        <w:rPr>
          <w:rFonts w:ascii="Tahoma" w:hAnsi="Tahoma" w:cs="Tahoma"/>
        </w:rPr>
      </w:pPr>
      <w:r>
        <w:rPr>
          <w:rFonts w:ascii="Tahoma" w:hAnsi="Tahoma" w:cs="Tahoma"/>
        </w:rPr>
        <w:t>w wierszu” Comenius – uczenie się przez całe życie  kwotę wydatków bieżących w 2011 roku  77.763,00 zł zastąpiono kwotą 77.609,62 zł,</w:t>
      </w:r>
    </w:p>
    <w:p w:rsidR="00970558" w:rsidRDefault="00970558">
      <w:pPr>
        <w:ind w:left="360"/>
        <w:rPr>
          <w:rFonts w:ascii="Tahoma" w:hAnsi="Tahoma" w:cs="Tahoma"/>
        </w:rPr>
      </w:pPr>
    </w:p>
    <w:p w:rsidR="00970558" w:rsidRDefault="00970558">
      <w:pPr>
        <w:ind w:left="360"/>
        <w:rPr>
          <w:rFonts w:ascii="Tahoma" w:hAnsi="Tahoma" w:cs="Tahoma"/>
          <w:color w:val="000000"/>
        </w:rPr>
      </w:pPr>
      <w:r>
        <w:rPr>
          <w:rFonts w:ascii="Tahoma" w:hAnsi="Tahoma" w:cs="Tahoma"/>
          <w:b/>
          <w:bCs/>
        </w:rPr>
        <w:t xml:space="preserve">b) </w:t>
      </w:r>
      <w:r>
        <w:rPr>
          <w:rFonts w:ascii="Tahoma" w:hAnsi="Tahoma" w:cs="Tahoma"/>
          <w:color w:val="000000"/>
        </w:rPr>
        <w:t xml:space="preserve">Ujęta   w przedsięwzięciach    kwota   52.500 zł przeznaczona na </w:t>
      </w:r>
    </w:p>
    <w:p w:rsidR="00970558" w:rsidRDefault="00970558">
      <w:pPr>
        <w:ind w:left="360"/>
        <w:rPr>
          <w:rFonts w:ascii="Tahoma" w:hAnsi="Tahoma" w:cs="Tahoma"/>
          <w:color w:val="000000"/>
        </w:rPr>
      </w:pPr>
      <w:r>
        <w:rPr>
          <w:rFonts w:ascii="Tahoma" w:hAnsi="Tahoma" w:cs="Tahoma"/>
          <w:color w:val="000000"/>
        </w:rPr>
        <w:t xml:space="preserve">    dla DPS Jaromin  na zadanie pn. „ Modernizacja kotłowni i termomodernizacja obiektów Domu Pomocy Społecznej w Jarominie- wykonanie dokumentacji” zostaje przeznaczona na zakupy inwestycyjne specjalistycznego sprzętu gastronomicznego  na wyposażenie kuchni . W  związku z powyższym zdejmuje się zadanie z  wykazu  przedsięwzięć.</w:t>
      </w:r>
    </w:p>
    <w:p w:rsidR="00970558" w:rsidRDefault="00970558">
      <w:pPr>
        <w:rPr>
          <w:rFonts w:ascii="Tahoma" w:hAnsi="Tahoma" w:cs="Tahoma"/>
          <w:color w:val="000000"/>
        </w:rPr>
      </w:pPr>
    </w:p>
    <w:p w:rsidR="00970558" w:rsidRDefault="00970558">
      <w:pPr>
        <w:rPr>
          <w:rFonts w:ascii="Tahoma" w:hAnsi="Tahoma" w:cs="Tahoma"/>
          <w:b/>
          <w:bCs/>
        </w:rPr>
      </w:pPr>
    </w:p>
    <w:p w:rsidR="00970558" w:rsidRDefault="00970558">
      <w:pPr>
        <w:rPr>
          <w:rFonts w:ascii="Tahoma" w:hAnsi="Tahoma" w:cs="Tahoma"/>
          <w:b/>
          <w:bCs/>
        </w:rPr>
      </w:pPr>
    </w:p>
    <w:p w:rsidR="00970558" w:rsidRDefault="00970558">
      <w:pPr>
        <w:ind w:left="360"/>
        <w:rPr>
          <w:rFonts w:ascii="Tahoma" w:hAnsi="Tahoma" w:cs="Tahoma"/>
          <w:b/>
          <w:bCs/>
        </w:rPr>
      </w:pPr>
    </w:p>
    <w:p w:rsidR="00970558" w:rsidRDefault="00970558">
      <w:pPr>
        <w:rPr>
          <w:rFonts w:cs="Times New Roman"/>
          <w:color w:val="000000"/>
          <w:sz w:val="22"/>
          <w:szCs w:val="22"/>
        </w:rPr>
      </w:pPr>
    </w:p>
    <w:sectPr w:rsidR="00970558" w:rsidSect="00970558">
      <w:headerReference w:type="even" r:id="rId7"/>
      <w:headerReference w:type="default" r:id="rId8"/>
      <w:pgSz w:w="11906" w:h="16838" w:code="9"/>
      <w:pgMar w:top="1134"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558" w:rsidRDefault="00970558">
      <w:pPr>
        <w:rPr>
          <w:rFonts w:cs="Times New Roman"/>
        </w:rPr>
      </w:pPr>
      <w:r>
        <w:rPr>
          <w:rFonts w:cs="Times New Roman"/>
        </w:rPr>
        <w:separator/>
      </w:r>
    </w:p>
  </w:endnote>
  <w:endnote w:type="continuationSeparator" w:id="0">
    <w:p w:rsidR="00970558" w:rsidRDefault="0097055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558" w:rsidRDefault="00970558">
      <w:pPr>
        <w:rPr>
          <w:rFonts w:cs="Times New Roman"/>
        </w:rPr>
      </w:pPr>
      <w:r>
        <w:rPr>
          <w:rFonts w:cs="Times New Roman"/>
        </w:rPr>
        <w:separator/>
      </w:r>
    </w:p>
  </w:footnote>
  <w:footnote w:type="continuationSeparator" w:id="0">
    <w:p w:rsidR="00970558" w:rsidRDefault="0097055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58" w:rsidRDefault="00970558">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2</w:t>
    </w:r>
    <w:r>
      <w:rPr>
        <w:rStyle w:val="PageNumber"/>
        <w:sz w:val="26"/>
        <w:szCs w:val="26"/>
      </w:rPr>
      <w:fldChar w:fldCharType="end"/>
    </w:r>
  </w:p>
  <w:p w:rsidR="00970558" w:rsidRDefault="009705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58" w:rsidRDefault="00970558">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3</w:t>
    </w:r>
    <w:r>
      <w:rPr>
        <w:rStyle w:val="PageNumber"/>
        <w:sz w:val="26"/>
        <w:szCs w:val="26"/>
      </w:rPr>
      <w:fldChar w:fldCharType="end"/>
    </w:r>
  </w:p>
  <w:p w:rsidR="00970558" w:rsidRDefault="009705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D8B"/>
    <w:multiLevelType w:val="hybridMultilevel"/>
    <w:tmpl w:val="165C48E4"/>
    <w:lvl w:ilvl="0" w:tplc="D14C116A">
      <w:start w:val="1"/>
      <w:numFmt w:val="decimal"/>
      <w:lvlText w:val="%1)"/>
      <w:lvlJc w:val="left"/>
      <w:pPr>
        <w:ind w:left="644" w:hanging="360"/>
      </w:pPr>
      <w:rPr>
        <w:rFonts w:ascii="Times New Roman" w:eastAsia="Times New Roman" w:hAnsi="Times New Roman"/>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
    <w:nsid w:val="0B5E3408"/>
    <w:multiLevelType w:val="hybridMultilevel"/>
    <w:tmpl w:val="B2D63F68"/>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
    <w:nsid w:val="0DA06D9B"/>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E5D2C67"/>
    <w:multiLevelType w:val="hybridMultilevel"/>
    <w:tmpl w:val="46AC88A6"/>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4">
    <w:nsid w:val="10177D8D"/>
    <w:multiLevelType w:val="hybridMultilevel"/>
    <w:tmpl w:val="D874631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2C23F7F"/>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2D9518A"/>
    <w:multiLevelType w:val="hybridMultilevel"/>
    <w:tmpl w:val="E116AD0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81F1B63"/>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AF67DAD"/>
    <w:multiLevelType w:val="hybridMultilevel"/>
    <w:tmpl w:val="76E8FCF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E9D242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F246A47"/>
    <w:multiLevelType w:val="hybridMultilevel"/>
    <w:tmpl w:val="E50CAC7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F9F554D"/>
    <w:multiLevelType w:val="hybridMultilevel"/>
    <w:tmpl w:val="60BC9BC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3836E2"/>
    <w:multiLevelType w:val="hybridMultilevel"/>
    <w:tmpl w:val="5776B09E"/>
    <w:lvl w:ilvl="0" w:tplc="A5BEDE4C">
      <w:start w:val="1"/>
      <w:numFmt w:val="lowerLetter"/>
      <w:lvlText w:val="%1."/>
      <w:lvlJc w:val="left"/>
      <w:pPr>
        <w:tabs>
          <w:tab w:val="num" w:pos="360"/>
        </w:tabs>
        <w:ind w:left="360" w:hanging="360"/>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6BC149E"/>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3F2F30CF"/>
    <w:multiLevelType w:val="hybridMultilevel"/>
    <w:tmpl w:val="41EE985C"/>
    <w:lvl w:ilvl="0" w:tplc="0415000F">
      <w:start w:val="1"/>
      <w:numFmt w:val="decimal"/>
      <w:lvlText w:val="%1."/>
      <w:lvlJc w:val="left"/>
      <w:pPr>
        <w:tabs>
          <w:tab w:val="num" w:pos="1429"/>
        </w:tabs>
        <w:ind w:left="1429" w:hanging="360"/>
      </w:pPr>
      <w:rPr>
        <w:rFonts w:ascii="Times New Roman" w:hAnsi="Times New Roman" w:cs="Times New Roman"/>
      </w:rPr>
    </w:lvl>
    <w:lvl w:ilvl="1" w:tplc="04150019">
      <w:start w:val="1"/>
      <w:numFmt w:val="lowerLetter"/>
      <w:lvlText w:val="%2."/>
      <w:lvlJc w:val="left"/>
      <w:pPr>
        <w:tabs>
          <w:tab w:val="num" w:pos="2149"/>
        </w:tabs>
        <w:ind w:left="2149" w:hanging="360"/>
      </w:pPr>
      <w:rPr>
        <w:rFonts w:ascii="Times New Roman" w:hAnsi="Times New Roman" w:cs="Times New Roman"/>
      </w:rPr>
    </w:lvl>
    <w:lvl w:ilvl="2" w:tplc="0415001B">
      <w:start w:val="1"/>
      <w:numFmt w:val="lowerRoman"/>
      <w:lvlText w:val="%3."/>
      <w:lvlJc w:val="right"/>
      <w:pPr>
        <w:tabs>
          <w:tab w:val="num" w:pos="2869"/>
        </w:tabs>
        <w:ind w:left="2869" w:hanging="180"/>
      </w:pPr>
      <w:rPr>
        <w:rFonts w:ascii="Times New Roman" w:hAnsi="Times New Roman" w:cs="Times New Roman"/>
      </w:rPr>
    </w:lvl>
    <w:lvl w:ilvl="3" w:tplc="0415000F">
      <w:start w:val="1"/>
      <w:numFmt w:val="decimal"/>
      <w:lvlText w:val="%4."/>
      <w:lvlJc w:val="left"/>
      <w:pPr>
        <w:tabs>
          <w:tab w:val="num" w:pos="3589"/>
        </w:tabs>
        <w:ind w:left="3589" w:hanging="360"/>
      </w:pPr>
      <w:rPr>
        <w:rFonts w:ascii="Times New Roman" w:hAnsi="Times New Roman" w:cs="Times New Roman"/>
      </w:rPr>
    </w:lvl>
    <w:lvl w:ilvl="4" w:tplc="04150019">
      <w:start w:val="1"/>
      <w:numFmt w:val="lowerLetter"/>
      <w:lvlText w:val="%5."/>
      <w:lvlJc w:val="left"/>
      <w:pPr>
        <w:tabs>
          <w:tab w:val="num" w:pos="4309"/>
        </w:tabs>
        <w:ind w:left="4309" w:hanging="360"/>
      </w:pPr>
      <w:rPr>
        <w:rFonts w:ascii="Times New Roman" w:hAnsi="Times New Roman" w:cs="Times New Roman"/>
      </w:rPr>
    </w:lvl>
    <w:lvl w:ilvl="5" w:tplc="0415001B">
      <w:start w:val="1"/>
      <w:numFmt w:val="lowerRoman"/>
      <w:lvlText w:val="%6."/>
      <w:lvlJc w:val="right"/>
      <w:pPr>
        <w:tabs>
          <w:tab w:val="num" w:pos="5029"/>
        </w:tabs>
        <w:ind w:left="5029" w:hanging="180"/>
      </w:pPr>
      <w:rPr>
        <w:rFonts w:ascii="Times New Roman" w:hAnsi="Times New Roman" w:cs="Times New Roman"/>
      </w:rPr>
    </w:lvl>
    <w:lvl w:ilvl="6" w:tplc="0415000F">
      <w:start w:val="1"/>
      <w:numFmt w:val="decimal"/>
      <w:lvlText w:val="%7."/>
      <w:lvlJc w:val="left"/>
      <w:pPr>
        <w:tabs>
          <w:tab w:val="num" w:pos="5749"/>
        </w:tabs>
        <w:ind w:left="5749" w:hanging="360"/>
      </w:pPr>
      <w:rPr>
        <w:rFonts w:ascii="Times New Roman" w:hAnsi="Times New Roman" w:cs="Times New Roman"/>
      </w:rPr>
    </w:lvl>
    <w:lvl w:ilvl="7" w:tplc="04150019">
      <w:start w:val="1"/>
      <w:numFmt w:val="lowerLetter"/>
      <w:lvlText w:val="%8."/>
      <w:lvlJc w:val="left"/>
      <w:pPr>
        <w:tabs>
          <w:tab w:val="num" w:pos="6469"/>
        </w:tabs>
        <w:ind w:left="6469" w:hanging="360"/>
      </w:pPr>
      <w:rPr>
        <w:rFonts w:ascii="Times New Roman" w:hAnsi="Times New Roman" w:cs="Times New Roman"/>
      </w:rPr>
    </w:lvl>
    <w:lvl w:ilvl="8" w:tplc="0415001B">
      <w:start w:val="1"/>
      <w:numFmt w:val="lowerRoman"/>
      <w:lvlText w:val="%9."/>
      <w:lvlJc w:val="right"/>
      <w:pPr>
        <w:tabs>
          <w:tab w:val="num" w:pos="7189"/>
        </w:tabs>
        <w:ind w:left="7189" w:hanging="180"/>
      </w:pPr>
      <w:rPr>
        <w:rFonts w:ascii="Times New Roman" w:hAnsi="Times New Roman" w:cs="Times New Roman"/>
      </w:rPr>
    </w:lvl>
  </w:abstractNum>
  <w:abstractNum w:abstractNumId="15">
    <w:nsid w:val="4751427C"/>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491B4BB5"/>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BDC0504"/>
    <w:multiLevelType w:val="hybridMultilevel"/>
    <w:tmpl w:val="25C660D6"/>
    <w:lvl w:ilvl="0" w:tplc="CE2271F8">
      <w:start w:val="3"/>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508A1419"/>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54A33C80"/>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9DF0A5A"/>
    <w:multiLevelType w:val="hybridMultilevel"/>
    <w:tmpl w:val="45FA1C52"/>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AF8368A"/>
    <w:multiLevelType w:val="hybridMultilevel"/>
    <w:tmpl w:val="E3AA7A4C"/>
    <w:lvl w:ilvl="0" w:tplc="4AB46DAC">
      <w:start w:val="1"/>
      <w:numFmt w:val="lowerLetter"/>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C114A1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5DEC7449"/>
    <w:multiLevelType w:val="hybridMultilevel"/>
    <w:tmpl w:val="E084AD74"/>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3726032"/>
    <w:multiLevelType w:val="hybridMultilevel"/>
    <w:tmpl w:val="3E5467C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65A826FB"/>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6B783A35"/>
    <w:multiLevelType w:val="hybridMultilevel"/>
    <w:tmpl w:val="8A72BF5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6BD06414"/>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C097464"/>
    <w:multiLevelType w:val="hybridMultilevel"/>
    <w:tmpl w:val="F5903062"/>
    <w:lvl w:ilvl="0" w:tplc="9618BF00">
      <w:start w:val="4"/>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nsid w:val="6C1C33ED"/>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6E6D0BC6"/>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9B60627"/>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F0525D8"/>
    <w:multiLevelType w:val="hybridMultilevel"/>
    <w:tmpl w:val="19E820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29"/>
  </w:num>
  <w:num w:numId="2">
    <w:abstractNumId w:val="24"/>
  </w:num>
  <w:num w:numId="3">
    <w:abstractNumId w:val="18"/>
  </w:num>
  <w:num w:numId="4">
    <w:abstractNumId w:val="26"/>
  </w:num>
  <w:num w:numId="5">
    <w:abstractNumId w:val="22"/>
  </w:num>
  <w:num w:numId="6">
    <w:abstractNumId w:val="10"/>
  </w:num>
  <w:num w:numId="7">
    <w:abstractNumId w:val="15"/>
  </w:num>
  <w:num w:numId="8">
    <w:abstractNumId w:val="11"/>
  </w:num>
  <w:num w:numId="9">
    <w:abstractNumId w:val="31"/>
  </w:num>
  <w:num w:numId="10">
    <w:abstractNumId w:val="20"/>
  </w:num>
  <w:num w:numId="11">
    <w:abstractNumId w:val="6"/>
  </w:num>
  <w:num w:numId="12">
    <w:abstractNumId w:val="23"/>
  </w:num>
  <w:num w:numId="13">
    <w:abstractNumId w:val="32"/>
  </w:num>
  <w:num w:numId="14">
    <w:abstractNumId w:val="4"/>
  </w:num>
  <w:num w:numId="15">
    <w:abstractNumId w:val="8"/>
  </w:num>
  <w:num w:numId="16">
    <w:abstractNumId w:val="12"/>
  </w:num>
  <w:num w:numId="17">
    <w:abstractNumId w:val="2"/>
  </w:num>
  <w:num w:numId="18">
    <w:abstractNumId w:val="7"/>
  </w:num>
  <w:num w:numId="19">
    <w:abstractNumId w:val="16"/>
  </w:num>
  <w:num w:numId="20">
    <w:abstractNumId w:val="25"/>
  </w:num>
  <w:num w:numId="21">
    <w:abstractNumId w:val="3"/>
  </w:num>
  <w:num w:numId="22">
    <w:abstractNumId w:val="1"/>
  </w:num>
  <w:num w:numId="23">
    <w:abstractNumId w:val="27"/>
  </w:num>
  <w:num w:numId="24">
    <w:abstractNumId w:val="5"/>
  </w:num>
  <w:num w:numId="25">
    <w:abstractNumId w:val="30"/>
  </w:num>
  <w:num w:numId="26">
    <w:abstractNumId w:val="13"/>
  </w:num>
  <w:num w:numId="27">
    <w:abstractNumId w:val="9"/>
  </w:num>
  <w:num w:numId="28">
    <w:abstractNumId w:val="19"/>
  </w:num>
  <w:num w:numId="29">
    <w:abstractNumId w:val="17"/>
  </w:num>
  <w:num w:numId="30">
    <w:abstractNumId w:val="28"/>
  </w:num>
  <w:num w:numId="31">
    <w:abstractNumId w:val="0"/>
  </w:num>
  <w:num w:numId="32">
    <w:abstractNumId w:val="14"/>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defaultTabStop w:val="709"/>
  <w:autoHyphenation/>
  <w:hyphenationZone w:val="142"/>
  <w:doNotHyphenateCaps/>
  <w:evenAndOddHeader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558"/>
    <w:rsid w:val="0097055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velope address" w:unhideWhenUsed="0"/>
    <w:lsdException w:name="envelope return" w:unhideWhenUsed="0"/>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autoRedefine/>
    <w:uiPriority w:val="99"/>
    <w:qFormat/>
    <w:pPr>
      <w:keepNext/>
      <w:spacing w:before="360" w:after="360"/>
      <w:outlineLvl w:val="0"/>
    </w:pPr>
    <w:rPr>
      <w:rFonts w:ascii="Arial" w:hAnsi="Arial" w:cs="Arial"/>
      <w:b/>
      <w:bCs/>
      <w:kern w:val="32"/>
      <w:sz w:val="40"/>
      <w:szCs w:val="40"/>
    </w:rPr>
  </w:style>
  <w:style w:type="paragraph" w:styleId="Heading2">
    <w:name w:val="heading 2"/>
    <w:basedOn w:val="Normal"/>
    <w:next w:val="Normal"/>
    <w:link w:val="Heading2Char"/>
    <w:autoRedefine/>
    <w:uiPriority w:val="99"/>
    <w:qFormat/>
    <w:pPr>
      <w:keepNext/>
      <w:spacing w:before="240" w:after="240"/>
      <w:outlineLvl w:val="1"/>
    </w:pPr>
    <w:rPr>
      <w:rFonts w:ascii="Arial" w:hAnsi="Arial" w:cs="Arial"/>
      <w:b/>
      <w:bCs/>
      <w:sz w:val="36"/>
      <w:szCs w:val="36"/>
    </w:rPr>
  </w:style>
  <w:style w:type="paragraph" w:styleId="Heading3">
    <w:name w:val="heading 3"/>
    <w:basedOn w:val="Normal"/>
    <w:next w:val="Normal"/>
    <w:link w:val="Heading3Char"/>
    <w:autoRedefine/>
    <w:uiPriority w:val="99"/>
    <w:qFormat/>
    <w:pPr>
      <w:keepNext/>
      <w:spacing w:before="180" w:after="180"/>
      <w:outlineLvl w:val="2"/>
    </w:pPr>
    <w:rPr>
      <w:rFonts w:ascii="Arial" w:hAnsi="Arial" w:cs="Arial"/>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FootnoteText">
    <w:name w:val="footnote text"/>
    <w:basedOn w:val="Normal"/>
    <w:link w:val="FootnoteTextChar"/>
    <w:uiPriority w:val="99"/>
    <w:pPr>
      <w:ind w:left="170" w:hanging="170"/>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TOC1">
    <w:name w:val="toc 1"/>
    <w:basedOn w:val="Normal"/>
    <w:next w:val="Normal"/>
    <w:autoRedefine/>
    <w:uiPriority w:val="99"/>
    <w:pPr>
      <w:tabs>
        <w:tab w:val="right" w:leader="dot" w:pos="9627"/>
      </w:tabs>
      <w:ind w:left="280" w:hanging="280"/>
    </w:pPr>
    <w:rPr>
      <w:rFonts w:cs="Times New Roman"/>
    </w:rPr>
  </w:style>
  <w:style w:type="paragraph" w:styleId="TOC2">
    <w:name w:val="toc 2"/>
    <w:basedOn w:val="Normal"/>
    <w:next w:val="Normal"/>
    <w:autoRedefine/>
    <w:uiPriority w:val="99"/>
    <w:pPr>
      <w:tabs>
        <w:tab w:val="right" w:leader="dot" w:pos="9627"/>
      </w:tabs>
      <w:ind w:left="840" w:hanging="560"/>
    </w:pPr>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Arial" w:hAnsi="Arial" w:cs="Arial"/>
      <w:b/>
      <w:bCs/>
      <w:i/>
      <w:iCs/>
      <w:sz w:val="32"/>
      <w:szCs w:val="32"/>
    </w:rPr>
  </w:style>
  <w:style w:type="paragraph" w:styleId="EnvelopeReturn">
    <w:name w:val="envelope return"/>
    <w:basedOn w:val="Normal"/>
    <w:uiPriority w:val="99"/>
    <w:rPr>
      <w:rFonts w:ascii="Arial" w:hAnsi="Arial" w:cs="Arial"/>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2">
    <w:name w:val="Body Text 2"/>
    <w:basedOn w:val="Normal"/>
    <w:link w:val="BodyText2Char"/>
    <w:uiPriority w:val="99"/>
    <w:pPr>
      <w:spacing w:line="360" w:lineRule="auto"/>
      <w:jc w:val="both"/>
    </w:pPr>
    <w:rPr>
      <w:rFonts w:cs="Times New Roman"/>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line="360" w:lineRule="auto"/>
      <w:ind w:left="284"/>
      <w:jc w:val="both"/>
    </w:pPr>
    <w:rPr>
      <w:rFonts w:cs="Times New Roman"/>
      <w:sz w:val="24"/>
      <w:szCs w:val="24"/>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238</TotalTime>
  <Pages>3</Pages>
  <Words>761</Words>
  <Characters>4343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dc:creator>
  <cp:keywords/>
  <dc:description/>
  <cp:lastModifiedBy>IWIECZOREK</cp:lastModifiedBy>
  <cp:revision>69</cp:revision>
  <cp:lastPrinted>2011-12-27T10:34:00Z</cp:lastPrinted>
  <dcterms:created xsi:type="dcterms:W3CDTF">2009-10-15T06:56:00Z</dcterms:created>
  <dcterms:modified xsi:type="dcterms:W3CDTF">2012-01-09T10:59:00Z</dcterms:modified>
</cp:coreProperties>
</file>